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015A9">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食品监管</w:t>
      </w:r>
      <w:r>
        <w:rPr>
          <w:rFonts w:hint="eastAsia" w:ascii="仿宋_GB2312" w:hAnsi="黑体" w:eastAsia="仿宋_GB2312" w:cs="方正小标宋简体"/>
          <w:b/>
          <w:sz w:val="32"/>
          <w:szCs w:val="32"/>
        </w:rPr>
        <w:t>项目支出绩效评价报告</w:t>
      </w:r>
    </w:p>
    <w:p w14:paraId="442C5F38">
      <w:pPr>
        <w:spacing w:line="580" w:lineRule="exact"/>
        <w:ind w:firstLine="640" w:firstLineChars="200"/>
        <w:rPr>
          <w:rFonts w:ascii="仿宋_GB2312" w:hAnsi="仿宋_GB2312" w:eastAsia="仿宋_GB2312" w:cs="仿宋_GB2312"/>
          <w:sz w:val="32"/>
          <w:szCs w:val="32"/>
        </w:rPr>
      </w:pPr>
    </w:p>
    <w:p w14:paraId="79D9409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6A5AF10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eastAsia="仿宋_GB2312"/>
          <w:spacing w:val="-4"/>
          <w:szCs w:val="32"/>
          <w:lang w:eastAsia="zh-CN"/>
        </w:rPr>
      </w:pPr>
      <w:r>
        <w:rPr>
          <w:rFonts w:hint="eastAsia" w:ascii="仿宋_GB2312" w:hAnsi="仿宋" w:eastAsia="仿宋_GB2312" w:cs="仿宋_GB2312"/>
          <w:sz w:val="32"/>
          <w:szCs w:val="32"/>
        </w:rPr>
        <w:t>根据四川省财政厅《关于下达202</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年中央食品监管补助资金的通知》</w:t>
      </w:r>
      <w:r>
        <w:rPr>
          <w:rFonts w:hint="eastAsia" w:ascii="仿宋_GB2312" w:hAnsi="仿宋" w:eastAsia="仿宋_GB2312" w:cs="仿宋_GB2312"/>
          <w:sz w:val="32"/>
          <w:szCs w:val="32"/>
          <w:lang w:val="en-US" w:eastAsia="zh-CN"/>
        </w:rPr>
        <w:t>和2023年工作目标，</w:t>
      </w:r>
      <w:r>
        <w:rPr>
          <w:rFonts w:hint="eastAsia" w:ascii="仿宋_GB2312" w:hAnsi="仿宋" w:eastAsia="仿宋_GB2312" w:cs="仿宋_GB2312"/>
          <w:sz w:val="32"/>
          <w:szCs w:val="32"/>
        </w:rPr>
        <w:t>我局</w:t>
      </w:r>
      <w:r>
        <w:rPr>
          <w:rFonts w:hint="eastAsia" w:ascii="仿宋_GB2312" w:hAnsi="仿宋" w:eastAsia="仿宋_GB2312" w:cs="仿宋_GB2312"/>
          <w:sz w:val="32"/>
          <w:szCs w:val="32"/>
          <w:lang w:val="en-US" w:eastAsia="zh-CN"/>
        </w:rPr>
        <w:t>根据年初下达的工作目标任务，</w:t>
      </w:r>
      <w:r>
        <w:rPr>
          <w:rFonts w:hint="eastAsia" w:ascii="仿宋_GB2312" w:hAnsi="仿宋" w:eastAsia="仿宋_GB2312" w:cs="仿宋_GB2312"/>
          <w:sz w:val="32"/>
          <w:szCs w:val="32"/>
        </w:rPr>
        <w:t>制定了</w:t>
      </w:r>
      <w:r>
        <w:rPr>
          <w:rFonts w:hint="eastAsia" w:ascii="仿宋_GB2312" w:hAnsi="仿宋" w:eastAsia="仿宋_GB2312" w:cs="仿宋_GB2312"/>
          <w:sz w:val="32"/>
          <w:szCs w:val="32"/>
          <w:lang w:val="en-US" w:eastAsia="zh-CN"/>
        </w:rPr>
        <w:t>工作计划</w:t>
      </w:r>
      <w:r>
        <w:rPr>
          <w:rFonts w:hint="eastAsia" w:ascii="仿宋_GB2312" w:hAnsi="仿宋" w:eastAsia="仿宋_GB2312" w:cs="仿宋_GB2312"/>
          <w:sz w:val="32"/>
          <w:szCs w:val="32"/>
        </w:rPr>
        <w:t>，严格按规定组织人力物力实施项目</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进一步落实了食品生产经营企业的主体责任，提升食品生产经营企业食品安全管理水平。通过多种形式的宣传，联合检查，把好市场销售管理，防范和制止假冒伪劣食品流通，提高广大人民群众和食品生产经营企业的法律意识，监督引导食品企业严格自律，规范生产经营行为。</w:t>
      </w:r>
    </w:p>
    <w:p w14:paraId="7108051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56C9453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6046A673">
      <w:pPr>
        <w:pStyle w:val="5"/>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食品监管预算项目绩效自评得分90分。</w:t>
      </w:r>
    </w:p>
    <w:p w14:paraId="0059633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3D7D4BF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16843536">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spacing w:line="58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lang w:val="en-US" w:eastAsia="zh-CN"/>
        </w:rPr>
        <w:t>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03C379B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0369DBE1">
      <w:pPr>
        <w:spacing w:line="580" w:lineRule="exact"/>
        <w:ind w:firstLine="640" w:firstLineChars="200"/>
        <w:rPr>
          <w:rFonts w:hint="default"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我县紧紧围绕省州及中央关于食品安全工作的相关部署，深入开展食品安全专项行动，对全县各乡镇食安办进行食品安全培训，加强对农村群体性宴席和醇基燃料规范使用以及预防控制野生菌中毒风险等工作的指导，有效督促各乡镇食安办履职尽责，推动形成食品安全“层层负责、人人有责、各负其责”的工作体系。今年我县开展农产品质量安全监测140批次，合格率100%，县本级</w:t>
      </w:r>
      <w:bookmarkStart w:id="0" w:name="_GoBack"/>
      <w:bookmarkEnd w:id="0"/>
      <w:r>
        <w:rPr>
          <w:rFonts w:hint="eastAsia" w:ascii="仿宋_GB2312" w:hAnsi="仿宋" w:eastAsia="仿宋_GB2312" w:cs="仿宋_GB2312"/>
          <w:sz w:val="32"/>
          <w:szCs w:val="32"/>
          <w:lang w:val="en-US" w:eastAsia="zh-CN"/>
        </w:rPr>
        <w:t>食用农产品监督抽检150批次，不合格5批次，已全部完成处置，核查处置率100%；普通食品抽检50批次，未发现不合格批次。食品安全“你点我检”惠民抽检总计10批次，配合省、州和国家局食品专项抽检100余批次，发现国抽不合格2批次，省抽不合格1批次，州抽不合格1批次，已全部完成处置，核查处置率100%。我县今年共查处农产品质量安全案件3件，共计罚款0.09万元，食用农产品抽检不合格案件7件，共计罚款0.117万元，不予处罚4件。</w:t>
      </w:r>
      <w:r>
        <w:rPr>
          <w:rFonts w:hint="eastAsia" w:ascii="仿宋_GB2312" w:hAnsi="仿宋" w:eastAsia="仿宋_GB2312" w:cs="仿宋_GB2312"/>
          <w:sz w:val="32"/>
          <w:szCs w:val="32"/>
        </w:rPr>
        <w:t>全年计划开展整治假冒伪劣食品和规范销售食品标签标识</w:t>
      </w:r>
      <w:r>
        <w:rPr>
          <w:rFonts w:hint="eastAsia" w:ascii="仿宋_GB2312" w:hAnsi="仿宋" w:eastAsia="仿宋_GB2312" w:cs="仿宋_GB2312"/>
          <w:sz w:val="32"/>
          <w:szCs w:val="32"/>
          <w:lang w:val="en-US" w:eastAsia="zh-CN"/>
        </w:rPr>
        <w:t>检测经营主体129家次</w:t>
      </w:r>
      <w:r>
        <w:rPr>
          <w:rFonts w:hint="eastAsia" w:ascii="仿宋_GB2312" w:hAnsi="仿宋" w:eastAsia="仿宋_GB2312" w:cs="仿宋_GB2312"/>
          <w:sz w:val="32"/>
          <w:szCs w:val="32"/>
        </w:rPr>
        <w:t>，实际完成</w:t>
      </w:r>
      <w:r>
        <w:rPr>
          <w:rFonts w:hint="eastAsia" w:ascii="仿宋_GB2312" w:hAnsi="仿宋" w:eastAsia="仿宋_GB2312" w:cs="仿宋_GB2312"/>
          <w:sz w:val="32"/>
          <w:szCs w:val="32"/>
          <w:lang w:val="en-US" w:eastAsia="zh-CN"/>
        </w:rPr>
        <w:t>129家次</w:t>
      </w: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发放宣传资料200余份，</w:t>
      </w:r>
      <w:r>
        <w:rPr>
          <w:rFonts w:hint="eastAsia" w:ascii="仿宋_GB2312" w:hAnsi="仿宋" w:eastAsia="仿宋_GB2312" w:cs="仿宋_GB2312"/>
          <w:sz w:val="32"/>
          <w:szCs w:val="32"/>
        </w:rPr>
        <w:t>完成率100%；食用农产品</w:t>
      </w:r>
      <w:r>
        <w:rPr>
          <w:rFonts w:hint="eastAsia" w:ascii="仿宋_GB2312" w:hAnsi="仿宋" w:eastAsia="仿宋_GB2312" w:cs="仿宋_GB2312"/>
          <w:sz w:val="32"/>
          <w:szCs w:val="32"/>
          <w:lang w:val="en-US" w:eastAsia="zh-CN"/>
        </w:rPr>
        <w:t>150</w:t>
      </w:r>
      <w:r>
        <w:rPr>
          <w:rFonts w:hint="eastAsia" w:ascii="仿宋_GB2312" w:hAnsi="仿宋" w:eastAsia="仿宋_GB2312" w:cs="仿宋_GB2312"/>
          <w:sz w:val="32"/>
          <w:szCs w:val="32"/>
        </w:rPr>
        <w:t>批次，实际完成食用农产品</w:t>
      </w:r>
      <w:r>
        <w:rPr>
          <w:rFonts w:hint="eastAsia" w:ascii="仿宋_GB2312" w:hAnsi="仿宋" w:eastAsia="仿宋_GB2312" w:cs="仿宋_GB2312"/>
          <w:sz w:val="32"/>
          <w:szCs w:val="32"/>
          <w:lang w:val="en-US" w:eastAsia="zh-CN"/>
        </w:rPr>
        <w:t>抽检150</w:t>
      </w:r>
      <w:r>
        <w:rPr>
          <w:rFonts w:hint="eastAsia" w:ascii="仿宋_GB2312" w:hAnsi="仿宋" w:eastAsia="仿宋_GB2312" w:cs="仿宋_GB2312"/>
          <w:sz w:val="32"/>
          <w:szCs w:val="32"/>
        </w:rPr>
        <w:t>批次，完成率100%。完成目标计划，完成率100%。</w:t>
      </w:r>
      <w:r>
        <w:rPr>
          <w:rFonts w:hint="eastAsia" w:ascii="仿宋_GB2312" w:hAnsi="仿宋" w:eastAsia="仿宋_GB2312" w:cs="仿宋_GB2312"/>
          <w:sz w:val="32"/>
          <w:szCs w:val="32"/>
          <w:lang w:val="en-US" w:eastAsia="zh-CN"/>
        </w:rPr>
        <w:t>全年共开展校园食品安全专项整治行动7次，发现和指导整改问题60个，持续强化“行纪”衔接工作机制，向全县中小学校食堂下发整改意见书30份，肉制品专项治理行动，督促下架索证索票不齐全等相关肉制品30余公斤，查处肉制品相关案件10件，为广大消费者创造“放心舒心”的旅游市场消费环境，全年计划开展整治假冒伪劣食品和规范销售食品标签标识检测经营主体129家次，实际完成129家次，发放宣传资料200余份，完成率100%；各县镇通过发放宣传资料，现场宣传等方式向广大群众宣传假冒伪劣食品的相关知识，提高农村经营主体食品安全意识，进一步规范了农村食品店经营行为。进一步加大食品安全法律法规和相关政策的宣传力度，使农村食品安全治理工作家喻户晓、人人皆知，形成严厉打击市场假冒伪劣食品，切实保障农村食品安全的良好氛围。加强企业对标签标识的认识、理解和重视，进一步增强了食品生产企业和商超等对相关知识的了解和掌握。同时，执法人员走入超市等，不仅加强了整治的力度，也通过对消费者进行食品包装标签标识等知识的讲解，现场支招，为消费者及家人的健康把好“入口关”。</w:t>
      </w:r>
    </w:p>
    <w:p w14:paraId="4E66436C">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1F14FFFE">
      <w:pPr>
        <w:pStyle w:val="2"/>
        <w:numPr>
          <w:ilvl w:val="0"/>
          <w:numId w:val="0"/>
        </w:numPr>
        <w:ind w:right="-119" w:rightChars="0" w:firstLine="1600" w:firstLineChars="500"/>
        <w:rPr>
          <w:rFonts w:hint="eastAsia" w:eastAsia="仿宋"/>
          <w:lang w:val="en-US" w:eastAsia="zh-CN"/>
        </w:rPr>
      </w:pPr>
      <w:r>
        <w:rPr>
          <w:rFonts w:hint="eastAsia"/>
          <w:lang w:val="en-US" w:eastAsia="zh-CN"/>
        </w:rPr>
        <w:t>无</w:t>
      </w:r>
    </w:p>
    <w:p w14:paraId="15C07A1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307E174D">
      <w:pPr>
        <w:pStyle w:val="2"/>
        <w:numPr>
          <w:ilvl w:val="0"/>
          <w:numId w:val="0"/>
        </w:numPr>
        <w:ind w:right="-119" w:rightChars="0" w:firstLine="1600" w:firstLineChars="500"/>
        <w:rPr>
          <w:rFonts w:hint="eastAsia" w:cs="Times New Roman"/>
          <w:lang w:val="en-US" w:eastAsia="zh-CN"/>
        </w:rPr>
      </w:pPr>
      <w:r>
        <w:rPr>
          <w:rFonts w:hint="eastAsia" w:cs="Times New Roman"/>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64628"/>
    <w:multiLevelType w:val="singleLevel"/>
    <w:tmpl w:val="0AD6462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639341C"/>
    <w:rsid w:val="100566B3"/>
    <w:rsid w:val="13AF402D"/>
    <w:rsid w:val="1B1A33C4"/>
    <w:rsid w:val="1B4A3EC4"/>
    <w:rsid w:val="221B5929"/>
    <w:rsid w:val="2439349C"/>
    <w:rsid w:val="244E01D1"/>
    <w:rsid w:val="300A308A"/>
    <w:rsid w:val="33DA011B"/>
    <w:rsid w:val="358B1B11"/>
    <w:rsid w:val="35F225F0"/>
    <w:rsid w:val="38C2659D"/>
    <w:rsid w:val="3A1B6623"/>
    <w:rsid w:val="423607D0"/>
    <w:rsid w:val="4A0B0DD8"/>
    <w:rsid w:val="53AF7E46"/>
    <w:rsid w:val="55704B34"/>
    <w:rsid w:val="559D43FA"/>
    <w:rsid w:val="57B166CC"/>
    <w:rsid w:val="5A2E6AE0"/>
    <w:rsid w:val="5DBC40E7"/>
    <w:rsid w:val="62DB47B4"/>
    <w:rsid w:val="660F3E26"/>
    <w:rsid w:val="74272951"/>
    <w:rsid w:val="74956EB9"/>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章标题"/>
    <w:basedOn w:val="1"/>
    <w:next w:val="3"/>
    <w:qFormat/>
    <w:uiPriority w:val="0"/>
    <w:pPr>
      <w:spacing w:beforeAutospacing="0" w:afterAutospacing="0" w:line="560" w:lineRule="exact"/>
      <w:ind w:right="-119"/>
      <w:jc w:val="left"/>
      <w:textAlignment w:val="baseline"/>
    </w:pPr>
    <w:rPr>
      <w:rFonts w:ascii="Tahoma" w:hAnsi="Tahoma" w:eastAsia="仿宋"/>
      <w:snapToGrid w:val="0"/>
      <w:color w:val="000000"/>
      <w:sz w:val="32"/>
      <w:szCs w:val="18"/>
    </w:rPr>
  </w:style>
  <w:style w:type="paragraph" w:customStyle="1" w:styleId="3">
    <w:name w:val="节标题"/>
    <w:basedOn w:val="1"/>
    <w:next w:val="1"/>
    <w:qFormat/>
    <w:uiPriority w:val="0"/>
    <w:pPr>
      <w:spacing w:line="289" w:lineRule="atLeast"/>
      <w:jc w:val="center"/>
      <w:textAlignment w:val="baseline"/>
    </w:pPr>
    <w:rPr>
      <w:rFonts w:ascii="Times New Roman" w:hAnsi="Times New Roman"/>
      <w:color w:val="000000"/>
      <w:sz w:val="28"/>
      <w:szCs w:val="28"/>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0">
    <w:name w:val="页眉 Char"/>
    <w:basedOn w:val="9"/>
    <w:link w:val="7"/>
    <w:semiHidden/>
    <w:qFormat/>
    <w:uiPriority w:val="99"/>
    <w:rPr>
      <w:sz w:val="18"/>
      <w:szCs w:val="18"/>
    </w:rPr>
  </w:style>
  <w:style w:type="character" w:customStyle="1" w:styleId="11">
    <w:name w:val="页脚 Char"/>
    <w:basedOn w:val="9"/>
    <w:link w:val="6"/>
    <w:semiHidden/>
    <w:qFormat/>
    <w:uiPriority w:val="99"/>
    <w:rPr>
      <w:sz w:val="18"/>
      <w:szCs w:val="18"/>
    </w:rPr>
  </w:style>
  <w:style w:type="character" w:customStyle="1" w:styleId="12">
    <w:name w:val="标题 1 Char"/>
    <w:basedOn w:val="9"/>
    <w:link w:val="4"/>
    <w:qFormat/>
    <w:uiPriority w:val="9"/>
    <w:rPr>
      <w:rFonts w:ascii="Times New Roman" w:hAnsi="Times New Roman" w:eastAsia="宋体" w:cs="Times New Roman"/>
      <w:b/>
      <w:bCs/>
      <w:kern w:val="44"/>
      <w:sz w:val="44"/>
      <w:szCs w:val="44"/>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1616</Words>
  <Characters>1682</Characters>
  <Lines>2</Lines>
  <Paragraphs>1</Paragraphs>
  <TotalTime>2</TotalTime>
  <ScaleCrop>false</ScaleCrop>
  <LinksUpToDate>false</LinksUpToDate>
  <CharactersWithSpaces>1682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2025-09-01T09:37:29Z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