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市场监管专项</w:t>
      </w:r>
      <w:r>
        <w:rPr>
          <w:rFonts w:hint="eastAsia" w:ascii="仿宋_GB2312" w:hAnsi="黑体" w:eastAsia="仿宋_GB2312" w:cs="方正小标宋简体"/>
          <w:b/>
          <w:sz w:val="32"/>
          <w:szCs w:val="32"/>
        </w:rPr>
        <w:t>项目支出绩效评价报告</w:t>
      </w:r>
    </w:p>
    <w:p>
      <w:pPr>
        <w:spacing w:line="580" w:lineRule="exact"/>
        <w:ind w:firstLine="640" w:firstLineChars="200"/>
        <w:rPr>
          <w:rFonts w:ascii="仿宋_GB2312" w:hAnsi="仿宋_GB2312" w:eastAsia="仿宋_GB2312" w:cs="仿宋_GB2312"/>
          <w:sz w:val="32"/>
          <w:szCs w:val="32"/>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eastAsia" w:ascii="仿宋_GB2312" w:hAnsi="仿宋_GB2312" w:eastAsia="仿宋_GB2312" w:cs="仿宋_GB2312"/>
          <w:b w:val="0"/>
          <w:bCs w:val="0"/>
          <w:color w:val="000000"/>
          <w:sz w:val="32"/>
          <w:szCs w:val="32"/>
          <w:lang w:val="en-US" w:eastAsia="zh-CN"/>
        </w:rPr>
        <w:t>我局围绕“严守安全底线、优化政务服务、激发市场活力”的核心目标，强化食品药品安全链条监管，通过日常检查、专项督查督促企业合规经营；加大重点产品质量抽查与专项整治力度，严厉打击质量违法行为；深化特种设备隐患排查治理，将日常监管与专项整治相结合、传统手段与智慧赋能相融合、执法惩戒与信用约束相衔接，从源头遏制市场乱象，全力守护公平竞争的市场生态稳定全县市场秩序。深入聚焦严守安全底线、维护市场秩序、优化营商环境等重点任务，保护经营者、消费者和企业的合法权益，扎实履行职能职责，各项工作稳中有进、持续向好。</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pPr>
        <w:keepNext w:val="0"/>
        <w:keepLines w:val="0"/>
        <w:pageBreakBefore w:val="0"/>
        <w:widowControl w:val="0"/>
        <w:numPr>
          <w:ilvl w:val="0"/>
          <w:numId w:val="0"/>
        </w:numPr>
        <w:pBdr>
          <w:bottom w:val="single" w:color="FFFFFF" w:sz="4" w:space="13"/>
        </w:pBd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b w:val="0"/>
          <w:bCs w:val="0"/>
          <w:kern w:val="2"/>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市场监管专项得分9</w:t>
      </w:r>
      <w:r>
        <w:rPr>
          <w:rFonts w:hint="eastAsia" w:ascii="Times New Roman" w:cs="Times New Roman"/>
          <w:b w:val="0"/>
          <w:bCs w:val="0"/>
          <w:kern w:val="0"/>
          <w:position w:val="0"/>
          <w:sz w:val="32"/>
          <w:szCs w:val="32"/>
          <w:highlight w:val="none"/>
          <w:lang w:val="en-US" w:eastAsia="zh-CN" w:bidi="ar-SA"/>
        </w:rPr>
        <w:t>4</w:t>
      </w:r>
      <w:r>
        <w:rPr>
          <w:rFonts w:hint="eastAsia" w:ascii="Times New Roman" w:eastAsia="仿宋_GB2312" w:cs="Times New Roman"/>
          <w:b w:val="0"/>
          <w:bCs w:val="0"/>
          <w:kern w:val="0"/>
          <w:position w:val="0"/>
          <w:sz w:val="32"/>
          <w:szCs w:val="32"/>
          <w:highlight w:val="none"/>
          <w:lang w:val="en-US" w:eastAsia="zh-CN" w:bidi="ar-SA"/>
        </w:rPr>
        <w:t>分，</w:t>
      </w:r>
      <w:r>
        <w:rPr>
          <w:rFonts w:hint="default" w:ascii="Times New Roman" w:hAnsi="Times New Roman" w:eastAsia="仿宋_GB2312" w:cs="Times New Roman"/>
          <w:b w:val="0"/>
          <w:bCs w:val="0"/>
          <w:kern w:val="0"/>
          <w:position w:val="0"/>
          <w:sz w:val="32"/>
          <w:szCs w:val="32"/>
          <w:highlight w:val="none"/>
          <w:lang w:val="en-US" w:eastAsia="zh-CN" w:bidi="ar-SA"/>
        </w:rPr>
        <w:t>项目绩效自评总体结论总体良好，但仍存在一些需要改进的问题。</w:t>
      </w:r>
      <w:r>
        <w:rPr>
          <w:rFonts w:hint="eastAsia" w:ascii="Times New Roman" w:hAnsi="Times New Roman" w:cs="Times New Roman"/>
          <w:b w:val="0"/>
          <w:bCs w:val="0"/>
          <w:kern w:val="0"/>
          <w:position w:val="0"/>
          <w:sz w:val="32"/>
          <w:szCs w:val="32"/>
          <w:highlight w:val="none"/>
          <w:lang w:val="en-US" w:eastAsia="zh-CN" w:bidi="ar-SA"/>
        </w:rPr>
        <w:t>我们将</w:t>
      </w:r>
      <w:r>
        <w:rPr>
          <w:rFonts w:hint="eastAsia" w:ascii="仿宋_GB2312" w:hAnsi="仿宋_GB2312" w:eastAsia="仿宋_GB2312" w:cs="仿宋_GB2312"/>
          <w:b w:val="0"/>
          <w:bCs w:val="0"/>
          <w:color w:val="000000"/>
          <w:sz w:val="32"/>
          <w:szCs w:val="32"/>
          <w:lang w:val="en-US" w:eastAsia="zh-CN"/>
        </w:rPr>
        <w:t>始终坚持以习近平新时代中国特色社会主义思想为指导，深入贯彻落实上级关于市场监管工作的决策部署，紧紧围绕“保安全、提质量、促发展、强监管”核心目标，在维护市场秩序、保障民生安全、优化营商环境等方面取得显著成效，为黑水县经济社会持续健康发展提供了坚实的市场监管保障。</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1、项目决策</w:t>
      </w:r>
    </w:p>
    <w:p>
      <w:pPr>
        <w:spacing w:line="580" w:lineRule="exact"/>
        <w:ind w:firstLine="640" w:firstLineChars="200"/>
        <w:rPr>
          <w:rFonts w:hint="eastAsia" w:ascii="仿宋_GB2312" w:hAnsi="仿宋" w:eastAsia="仿宋_GB2312" w:cs="仿宋_GB2312"/>
          <w:sz w:val="32"/>
          <w:szCs w:val="32"/>
        </w:rPr>
      </w:pPr>
      <w:r>
        <w:rPr>
          <w:rFonts w:hint="eastAsia" w:ascii="Times New Roman" w:hAnsi="Times New Roman" w:eastAsia="仿宋_GB2312" w:cs="Times New Roman"/>
          <w:color w:val="auto"/>
          <w:sz w:val="32"/>
          <w:szCs w:val="32"/>
          <w:lang w:val="en-US" w:eastAsia="zh-CN"/>
        </w:rPr>
        <w:t>项目决策程序严密，项目立项、调整延续等方面符合资金管理基本规范和决策程序要求等方面的要求，项目规划是按照中央、省委省政府有关决策部署安排的要求，充分评估论证项目立项必要性、前瞻性、合理性和可行性，项目绩效目标设置科学合理。</w:t>
      </w:r>
      <w:r>
        <w:rPr>
          <w:rFonts w:hint="eastAsia" w:eastAsia="仿宋_GB2312" w:cs="Times New Roman"/>
          <w:color w:val="auto"/>
          <w:sz w:val="32"/>
          <w:szCs w:val="32"/>
          <w:lang w:val="en-US" w:eastAsia="zh-CN"/>
        </w:rPr>
        <w:t>项目是按中央、省委要求全面完成绩效目标（含事前评估）、绩效评价、以前年度问题整改等预算绩效</w:t>
      </w:r>
      <w:r>
        <w:rPr>
          <w:rFonts w:hint="eastAsia" w:ascii="Times New Roman" w:hAnsi="Times New Roman" w:eastAsia="仿宋_GB2312" w:cs="Times New Roman"/>
          <w:color w:val="auto"/>
          <w:sz w:val="32"/>
          <w:szCs w:val="32"/>
          <w:lang w:val="en-US" w:eastAsia="zh-CN"/>
        </w:rPr>
        <w:t>管理工作，定期、不定期开展绩效评价工作。</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pPr>
        <w:spacing w:line="580" w:lineRule="exact"/>
        <w:ind w:firstLine="640" w:firstLineChars="200"/>
        <w:rPr>
          <w:rFonts w:hint="eastAsia" w:ascii="仿宋" w:hAnsi="仿宋" w:eastAsia="仿宋" w:cs="仿宋"/>
          <w:sz w:val="32"/>
          <w:szCs w:val="32"/>
          <w:highlight w:val="none"/>
          <w:lang w:val="en-US" w:eastAsia="zh-CN"/>
        </w:rPr>
      </w:pPr>
      <w:r>
        <w:rPr>
          <w:rFonts w:hint="eastAsia" w:ascii="Times New Roman" w:hAnsi="Times New Roman" w:eastAsia="仿宋_GB2312" w:cs="Times New Roman"/>
          <w:color w:val="auto"/>
          <w:sz w:val="32"/>
          <w:szCs w:val="32"/>
          <w:lang w:val="en-US" w:eastAsia="zh-CN"/>
        </w:rPr>
        <w:t>建立健全项目管理制度体系，不存在管理制度缺失、管理办法过期情况，资金是根据我县发展实际和发展需求进行分配的，资金区域分布结果公平合理，分配依据充分合理项目申报审核程序是按规定程序履行项目审批，上级下达资金</w:t>
      </w:r>
      <w:r>
        <w:rPr>
          <w:rFonts w:hint="eastAsia" w:eastAsia="仿宋_GB2312" w:cs="Times New Roman"/>
          <w:color w:val="auto"/>
          <w:sz w:val="32"/>
          <w:szCs w:val="32"/>
          <w:lang w:val="en-US" w:eastAsia="zh-CN"/>
        </w:rPr>
        <w:t>35.5</w:t>
      </w:r>
      <w:r>
        <w:rPr>
          <w:rFonts w:hint="eastAsia" w:ascii="Times New Roman" w:hAnsi="Times New Roman" w:eastAsia="仿宋_GB2312" w:cs="Times New Roman"/>
          <w:color w:val="auto"/>
          <w:sz w:val="32"/>
          <w:szCs w:val="32"/>
          <w:lang w:val="en-US" w:eastAsia="zh-CN"/>
        </w:rPr>
        <w:t>万元，支出</w:t>
      </w:r>
      <w:r>
        <w:rPr>
          <w:rFonts w:hint="eastAsia" w:eastAsia="仿宋_GB2312" w:cs="Times New Roman"/>
          <w:color w:val="auto"/>
          <w:sz w:val="32"/>
          <w:szCs w:val="32"/>
          <w:lang w:val="en-US" w:eastAsia="zh-CN"/>
        </w:rPr>
        <w:t>35.47</w:t>
      </w:r>
      <w:r>
        <w:rPr>
          <w:rFonts w:hint="eastAsia" w:ascii="Times New Roman" w:hAnsi="Times New Roman" w:eastAsia="仿宋_GB2312" w:cs="Times New Roman"/>
          <w:color w:val="auto"/>
          <w:sz w:val="32"/>
          <w:szCs w:val="32"/>
          <w:lang w:val="en-US" w:eastAsia="zh-CN"/>
        </w:rPr>
        <w:t>万元</w:t>
      </w:r>
      <w:r>
        <w:rPr>
          <w:rFonts w:hint="eastAsia" w:eastAsia="仿宋_GB2312" w:cs="Times New Roman"/>
          <w:color w:val="auto"/>
          <w:sz w:val="32"/>
          <w:szCs w:val="32"/>
          <w:lang w:val="en-US" w:eastAsia="zh-CN"/>
        </w:rPr>
        <w:t>，结余资金上缴财政</w:t>
      </w:r>
      <w:r>
        <w:rPr>
          <w:rFonts w:hint="eastAsia" w:ascii="Times New Roman" w:hAnsi="Times New Roman" w:eastAsia="仿宋_GB2312" w:cs="Times New Roman"/>
          <w:color w:val="auto"/>
          <w:sz w:val="32"/>
          <w:szCs w:val="32"/>
          <w:lang w:val="en-US" w:eastAsia="zh-CN"/>
        </w:rPr>
        <w:t>。</w:t>
      </w:r>
      <w:r>
        <w:rPr>
          <w:rFonts w:hint="eastAsia" w:ascii="仿宋" w:hAnsi="仿宋" w:eastAsia="仿宋" w:cs="仿宋"/>
          <w:sz w:val="32"/>
          <w:szCs w:val="32"/>
          <w:highlight w:val="none"/>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pPr>
        <w:numPr>
          <w:ilvl w:val="0"/>
          <w:numId w:val="0"/>
        </w:numPr>
        <w:ind w:firstLine="640" w:firstLineChars="200"/>
        <w:rPr>
          <w:rFonts w:hint="default" w:ascii="Times New Roman" w:hAnsi="Times New Roman" w:cs="Times New Roman"/>
          <w:color w:val="auto"/>
          <w:kern w:val="0"/>
          <w:sz w:val="32"/>
          <w:szCs w:val="32"/>
          <w:highlight w:val="none"/>
          <w:u w:val="none"/>
          <w:shd w:val="clear" w:color="auto" w:fill="FFFFFF"/>
          <w:lang w:val="zh-CN" w:eastAsia="zh-CN"/>
        </w:rPr>
      </w:pPr>
      <w:r>
        <w:rPr>
          <w:rFonts w:hint="eastAsia" w:ascii="仿宋_GB2312" w:hAnsi="仿宋_GB2312" w:cs="仿宋_GB2312"/>
          <w:color w:val="000000"/>
          <w:sz w:val="32"/>
          <w:szCs w:val="32"/>
          <w:lang w:val="en-US" w:eastAsia="zh-CN"/>
        </w:rPr>
        <w:t>我局</w:t>
      </w:r>
      <w:r>
        <w:rPr>
          <w:rFonts w:hint="eastAsia" w:ascii="仿宋_GB2312" w:hAnsi="仿宋_GB2312" w:eastAsia="仿宋_GB2312" w:cs="仿宋_GB2312"/>
          <w:color w:val="000000"/>
          <w:sz w:val="32"/>
          <w:szCs w:val="32"/>
          <w:lang w:val="en-US" w:eastAsia="zh-CN"/>
        </w:rPr>
        <w:t>始终将安全生产作为首要任务，以“四个最严”要求为根本遵循，全方位筑牢食品、特种设备、产品质量四大安全防线，坚决守住民生安全底线。</w:t>
      </w:r>
      <w:r>
        <w:rPr>
          <w:rFonts w:hint="eastAsia" w:ascii="仿宋_GB2312" w:hAnsi="仿宋_GB2312" w:eastAsia="仿宋_GB2312" w:cs="仿宋_GB2312"/>
          <w:b w:val="0"/>
          <w:bCs w:val="0"/>
          <w:color w:val="000000"/>
          <w:sz w:val="32"/>
          <w:szCs w:val="32"/>
          <w:lang w:val="en-US" w:eastAsia="zh-CN"/>
        </w:rPr>
        <w:t>将日常监管与专项整治相结合</w:t>
      </w:r>
      <w:r>
        <w:rPr>
          <w:rFonts w:hint="eastAsia" w:ascii="仿宋_GB2312" w:hAnsi="仿宋_GB2312" w:cs="仿宋_GB2312"/>
          <w:b w:val="0"/>
          <w:bCs w:val="0"/>
          <w:color w:val="000000"/>
          <w:sz w:val="32"/>
          <w:szCs w:val="32"/>
          <w:lang w:val="en-US" w:eastAsia="zh-CN"/>
        </w:rPr>
        <w:t>，</w:t>
      </w:r>
      <w:r>
        <w:rPr>
          <w:rFonts w:hint="eastAsia" w:ascii="仿宋_GB2312" w:hAnsi="仿宋_GB2312" w:eastAsia="仿宋_GB2312" w:cs="仿宋_GB2312"/>
          <w:b w:val="0"/>
          <w:bCs w:val="0"/>
          <w:color w:val="000000"/>
          <w:sz w:val="32"/>
          <w:szCs w:val="32"/>
          <w:lang w:val="en-US" w:eastAsia="zh-CN"/>
        </w:rPr>
        <w:t>传统手段与智慧赋能相融合、执法惩戒与信用约束相衔接，从源头遏制市场乱象</w:t>
      </w:r>
      <w:r>
        <w:rPr>
          <w:rFonts w:hint="eastAsia" w:ascii="仿宋_GB2312" w:hAnsi="仿宋_GB2312" w:cs="仿宋_GB2312"/>
          <w:b w:val="0"/>
          <w:bCs w:val="0"/>
          <w:color w:val="000000"/>
          <w:sz w:val="32"/>
          <w:szCs w:val="32"/>
          <w:lang w:val="en-US" w:eastAsia="zh-CN"/>
        </w:rPr>
        <w:t>，</w:t>
      </w:r>
      <w:r>
        <w:rPr>
          <w:rFonts w:hint="eastAsia" w:ascii="仿宋_GB2312" w:hAnsi="仿宋_GB2312" w:eastAsia="仿宋_GB2312" w:cs="仿宋_GB2312"/>
          <w:b w:val="0"/>
          <w:bCs w:val="0"/>
          <w:color w:val="000000"/>
          <w:sz w:val="32"/>
          <w:szCs w:val="32"/>
          <w:lang w:val="en-US" w:eastAsia="zh-CN"/>
        </w:rPr>
        <w:t>开展“春雷行动”</w:t>
      </w:r>
      <w:r>
        <w:rPr>
          <w:rFonts w:hint="eastAsia" w:ascii="仿宋_GB2312" w:hAnsi="仿宋_GB2312" w:cs="仿宋_GB2312"/>
          <w:b w:val="0"/>
          <w:bCs w:val="0"/>
          <w:color w:val="000000"/>
          <w:sz w:val="32"/>
          <w:szCs w:val="32"/>
          <w:lang w:val="en-US" w:eastAsia="zh-CN"/>
        </w:rPr>
        <w:t>、</w:t>
      </w:r>
      <w:r>
        <w:rPr>
          <w:rFonts w:hint="eastAsia" w:ascii="仿宋_GB2312" w:hAnsi="仿宋_GB2312" w:eastAsia="仿宋_GB2312" w:cs="仿宋_GB2312"/>
          <w:b w:val="0"/>
          <w:bCs w:val="0"/>
          <w:color w:val="000000"/>
          <w:sz w:val="32"/>
          <w:szCs w:val="32"/>
          <w:lang w:val="en-US" w:eastAsia="zh-CN"/>
        </w:rPr>
        <w:t>“铁拳行动”、反不正当竞争、价格监管、知识产权保护</w:t>
      </w:r>
      <w:r>
        <w:rPr>
          <w:rFonts w:hint="eastAsia" w:ascii="仿宋_GB2312" w:hAnsi="仿宋_GB2312" w:cs="仿宋_GB2312"/>
          <w:b w:val="0"/>
          <w:bCs w:val="0"/>
          <w:color w:val="000000"/>
          <w:sz w:val="32"/>
          <w:szCs w:val="32"/>
          <w:lang w:val="en-US" w:eastAsia="zh-CN"/>
        </w:rPr>
        <w:t>、食品药品安全、特种设备安全</w:t>
      </w:r>
      <w:r>
        <w:rPr>
          <w:rFonts w:hint="eastAsia" w:ascii="仿宋_GB2312" w:hAnsi="仿宋_GB2312" w:eastAsia="仿宋_GB2312" w:cs="仿宋_GB2312"/>
          <w:b w:val="0"/>
          <w:bCs w:val="0"/>
          <w:color w:val="000000"/>
          <w:sz w:val="32"/>
          <w:szCs w:val="32"/>
          <w:lang w:val="en-US" w:eastAsia="zh-CN"/>
        </w:rPr>
        <w:t>等专项行动</w:t>
      </w:r>
      <w:r>
        <w:rPr>
          <w:rFonts w:hint="eastAsia" w:ascii="仿宋_GB2312" w:hAnsi="仿宋_GB2312" w:cs="仿宋_GB2312"/>
          <w:b w:val="0"/>
          <w:bCs w:val="0"/>
          <w:color w:val="000000"/>
          <w:sz w:val="32"/>
          <w:szCs w:val="32"/>
          <w:lang w:val="en-US" w:eastAsia="zh-CN"/>
        </w:rPr>
        <w:t>。</w:t>
      </w:r>
      <w:r>
        <w:rPr>
          <w:rFonts w:hint="eastAsia" w:ascii="仿宋_GB2312" w:hAnsi="仿宋_GB2312" w:eastAsia="仿宋_GB2312" w:cs="仿宋_GB2312"/>
          <w:color w:val="000000"/>
          <w:sz w:val="32"/>
          <w:szCs w:val="32"/>
          <w:lang w:val="en-US" w:eastAsia="zh-CN"/>
        </w:rPr>
        <w:t>全年检查食品生产经营主体428家次，培训从业人员150余人次；完成</w:t>
      </w:r>
      <w:r>
        <w:rPr>
          <w:rFonts w:hint="eastAsia" w:ascii="仿宋_GB2312" w:eastAsia="仿宋_GB2312"/>
          <w:sz w:val="32"/>
          <w:szCs w:val="32"/>
          <w:lang w:val="en-US" w:eastAsia="zh-CN"/>
        </w:rPr>
        <w:t>203批次的抽检任务</w:t>
      </w:r>
      <w:r>
        <w:rPr>
          <w:rFonts w:hint="eastAsia" w:ascii="仿宋_GB2312" w:eastAsia="仿宋_GB2312"/>
          <w:sz w:val="32"/>
          <w:szCs w:val="32"/>
        </w:rPr>
        <w:t>，其中</w:t>
      </w:r>
      <w:r>
        <w:rPr>
          <w:rFonts w:hint="eastAsia" w:ascii="仿宋_GB2312" w:eastAsia="仿宋_GB2312"/>
          <w:sz w:val="32"/>
          <w:szCs w:val="32"/>
          <w:lang w:eastAsia="zh-CN"/>
        </w:rPr>
        <w:t>县食用农产品</w:t>
      </w:r>
      <w:r>
        <w:rPr>
          <w:rFonts w:hint="eastAsia" w:ascii="仿宋_GB2312" w:eastAsia="仿宋_GB2312"/>
          <w:sz w:val="32"/>
          <w:szCs w:val="32"/>
          <w:lang w:val="en-US" w:eastAsia="zh-CN"/>
        </w:rPr>
        <w:t>150批次，</w:t>
      </w:r>
      <w:r>
        <w:rPr>
          <w:rFonts w:hint="eastAsia" w:ascii="仿宋_GB2312" w:hAnsi="仿宋_GB2312" w:eastAsia="仿宋_GB2312" w:cs="仿宋_GB2312"/>
          <w:kern w:val="2"/>
          <w:sz w:val="32"/>
          <w:szCs w:val="32"/>
          <w:lang w:val="en-US" w:eastAsia="zh-CN" w:bidi="ar-SA"/>
        </w:rPr>
        <w:t>县本级食品安全监督抽检53批次</w:t>
      </w:r>
      <w:r>
        <w:rPr>
          <w:rFonts w:hint="eastAsia" w:ascii="仿宋_GB2312" w:eastAsia="仿宋_GB2312"/>
          <w:sz w:val="32"/>
          <w:szCs w:val="32"/>
          <w:lang w:val="en-US" w:eastAsia="zh-CN"/>
        </w:rPr>
        <w:t>；食用农产品不合格6批次，</w:t>
      </w:r>
      <w:r>
        <w:rPr>
          <w:rFonts w:hint="eastAsia" w:ascii="仿宋_GB2312" w:hAnsi="仿宋_GB2312" w:eastAsia="仿宋_GB2312" w:cs="仿宋_GB2312"/>
          <w:kern w:val="2"/>
          <w:sz w:val="32"/>
          <w:szCs w:val="32"/>
          <w:lang w:val="en-US" w:eastAsia="zh-CN" w:bidi="ar-SA"/>
        </w:rPr>
        <w:t>县本级食品安全监督抽检</w:t>
      </w:r>
      <w:r>
        <w:rPr>
          <w:rFonts w:hint="eastAsia" w:ascii="仿宋_GB2312" w:eastAsia="仿宋_GB2312"/>
          <w:sz w:val="32"/>
          <w:szCs w:val="32"/>
          <w:lang w:val="en-US" w:eastAsia="zh-CN"/>
        </w:rPr>
        <w:t>不合格1批次</w:t>
      </w:r>
      <w:r>
        <w:rPr>
          <w:rFonts w:hint="eastAsia" w:ascii="仿宋_GB2312" w:hAnsi="仿宋_GB2312" w:eastAsia="仿宋_GB2312" w:cs="仿宋_GB2312"/>
          <w:color w:val="000000"/>
          <w:sz w:val="32"/>
          <w:szCs w:val="32"/>
          <w:lang w:val="en-US" w:eastAsia="zh-CN"/>
        </w:rPr>
        <w:t>。全年查办食品安全案件16件，罚没款2.68万元。全面落实“三管三必须”安全监管责任，紧盯重点领域、重点行业、重点范围，扎实开展特种设备安全隐患排查整治深化年行动，检查特种设备使用单位41家次，设备86台，督促整改隐患18处。全年查办特种设备安全案件1件，罚没款0.1万元。</w:t>
      </w:r>
      <w:r>
        <w:rPr>
          <w:rFonts w:hint="eastAsia" w:ascii="仿宋_GB2312" w:hAnsi="仿宋_GB2312" w:cs="仿宋_GB2312"/>
          <w:color w:val="000000"/>
          <w:sz w:val="32"/>
          <w:szCs w:val="32"/>
          <w:lang w:val="en-US" w:eastAsia="zh-CN"/>
        </w:rPr>
        <w:t>为</w:t>
      </w:r>
      <w:r>
        <w:rPr>
          <w:rFonts w:hint="eastAsia" w:ascii="仿宋_GB2312" w:hAnsi="仿宋_GB2312" w:eastAsia="仿宋_GB2312" w:cs="仿宋_GB2312"/>
          <w:sz w:val="32"/>
          <w:szCs w:val="32"/>
          <w:lang w:val="en-US" w:eastAsia="zh-CN"/>
        </w:rPr>
        <w:t>加强电梯安全隐患排查整治，及时开展自查自纠，做到安全隐患早发现、早报告、早处置，坚决杜绝特种设备安全事故的发生</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eastAsia="zh-CN"/>
        </w:rPr>
        <w:t>共出动执法人员</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lang w:eastAsia="zh-CN"/>
        </w:rPr>
        <w:t>人次，执法车辆</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台次，检查特种设备使用单位</w:t>
      </w:r>
      <w:r>
        <w:rPr>
          <w:rFonts w:hint="eastAsia" w:ascii="仿宋_GB2312" w:hAnsi="仿宋_GB2312" w:eastAsia="仿宋_GB2312" w:cs="仿宋_GB2312"/>
          <w:sz w:val="32"/>
          <w:szCs w:val="32"/>
          <w:lang w:val="en-US" w:eastAsia="zh-CN"/>
        </w:rPr>
        <w:t>12家，</w:t>
      </w:r>
      <w:r>
        <w:rPr>
          <w:rFonts w:hint="eastAsia" w:ascii="仿宋_GB2312" w:hAnsi="仿宋_GB2312" w:eastAsia="仿宋_GB2312" w:cs="仿宋_GB2312"/>
          <w:sz w:val="32"/>
          <w:szCs w:val="32"/>
          <w:lang w:eastAsia="zh-CN"/>
        </w:rPr>
        <w:t>在检查中对发现的问题现场予以指出并责令使用单位限期整改，共发现</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个问题隐患，现</w:t>
      </w:r>
      <w:r>
        <w:rPr>
          <w:rFonts w:hint="eastAsia" w:ascii="仿宋_GB2312" w:hAnsi="仿宋_GB2312" w:eastAsia="仿宋_GB2312" w:cs="仿宋_GB2312"/>
          <w:sz w:val="32"/>
          <w:szCs w:val="32"/>
          <w:lang w:val="en-US" w:eastAsia="zh-CN"/>
        </w:rPr>
        <w:t>已</w:t>
      </w:r>
      <w:r>
        <w:rPr>
          <w:rFonts w:hint="eastAsia" w:ascii="仿宋_GB2312" w:hAnsi="仿宋_GB2312" w:eastAsia="仿宋_GB2312" w:cs="仿宋_GB2312"/>
          <w:sz w:val="32"/>
          <w:szCs w:val="32"/>
          <w:lang w:eastAsia="zh-CN"/>
        </w:rPr>
        <w:t>整改</w:t>
      </w:r>
      <w:r>
        <w:rPr>
          <w:rFonts w:hint="eastAsia" w:ascii="仿宋_GB2312" w:hAnsi="仿宋_GB2312" w:eastAsia="仿宋_GB2312" w:cs="仿宋_GB2312"/>
          <w:sz w:val="32"/>
          <w:szCs w:val="32"/>
          <w:lang w:val="en-US" w:eastAsia="zh-CN"/>
        </w:rPr>
        <w:t>完成</w:t>
      </w:r>
      <w:r>
        <w:rPr>
          <w:rFonts w:hint="eastAsia" w:ascii="仿宋_GB2312" w:hAnsi="仿宋_GB2312" w:eastAsia="仿宋_GB2312" w:cs="仿宋_GB2312"/>
          <w:sz w:val="32"/>
          <w:szCs w:val="32"/>
          <w:lang w:eastAsia="zh-CN"/>
        </w:rPr>
        <w:t>，以保证电梯正常安全运行。</w:t>
      </w:r>
      <w:r>
        <w:rPr>
          <w:rFonts w:hint="eastAsia" w:ascii="仿宋_GB2312" w:hAnsi="仿宋_GB2312" w:cs="仿宋_GB2312"/>
          <w:sz w:val="32"/>
          <w:szCs w:val="32"/>
          <w:lang w:val="en-US" w:eastAsia="zh-CN"/>
        </w:rPr>
        <w:t>通过</w:t>
      </w:r>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t>“进机关、进党校、进企业、进社区”宣传活动,印制宣传手册并发放至各成员单位，要求组织学习，累计发放手册30余份，引导市场主体和社会公众积极参与监督，形成崇尚公平竞争、抵制垄断行为的良好社会氛围。</w:t>
      </w:r>
      <w:r>
        <w:rPr>
          <w:rFonts w:hint="eastAsia" w:ascii="仿宋_GB2312" w:hAnsi="仿宋_GB2312" w:eastAsia="仿宋_GB2312" w:cs="仿宋_GB2312"/>
          <w:sz w:val="32"/>
          <w:szCs w:val="32"/>
          <w:lang w:val="en-US" w:eastAsia="zh-CN"/>
        </w:rPr>
        <w:t>为推进价格诚信建设，规范市场价格行为，促进公平、公开、合法的市场竞争。我局对沙卡村建设“价格诚信民宿示范村”，目前试点优选10家诚信经营、明码实价店纳入建设，并授予“诚信经营”承诺店。</w:t>
      </w:r>
      <w:r>
        <w:rPr>
          <w:rFonts w:hint="eastAsia" w:ascii="华文仿宋" w:hAnsi="华文仿宋" w:eastAsia="华文仿宋" w:cs="华文仿宋"/>
          <w:b w:val="0"/>
          <w:bCs w:val="0"/>
          <w:kern w:val="0"/>
          <w:sz w:val="32"/>
          <w:szCs w:val="32"/>
          <w:lang w:val="en-US" w:eastAsia="zh-CN" w:bidi="ar"/>
        </w:rPr>
        <w:t>深入推进个体工商户分型分类精准帮扶工作，贯彻落实促进个体工商户发展相关政策，充分发挥先进典型的示范引领作用，进一步规范市场行为，提振市场主体发展信心，激发市场活力，</w:t>
      </w:r>
      <w:bookmarkStart w:id="0" w:name="_GoBack"/>
      <w:bookmarkEnd w:id="0"/>
      <w:r>
        <w:rPr>
          <w:rFonts w:hint="eastAsia" w:ascii="华文仿宋" w:hAnsi="华文仿宋" w:eastAsia="华文仿宋" w:cs="华文仿宋"/>
          <w:b w:val="0"/>
          <w:bCs w:val="0"/>
          <w:kern w:val="0"/>
          <w:sz w:val="32"/>
          <w:szCs w:val="32"/>
          <w:lang w:val="en-US" w:eastAsia="zh-CN" w:bidi="ar"/>
        </w:rPr>
        <w:t>推动县域经济高质量发展。还举行了黑水县首批“名特优新”个体工商户授牌表彰仪式，获评的17家商户，是黑水县启动首批“名特优新”个体工商户申报认定工作的成果。</w:t>
      </w:r>
      <w:r>
        <w:rPr>
          <w:rFonts w:ascii="仿宋" w:hAnsi="仿宋" w:eastAsia="仿宋" w:cs="Segoe UI"/>
          <w:color w:val="0D0D0D"/>
          <w:kern w:val="0"/>
          <w:sz w:val="32"/>
          <w:szCs w:val="32"/>
        </w:rPr>
        <w:t>以“红骑手 跟党走”主题活动为载体，通过线上线下结合的方式深化思想建设。</w:t>
      </w:r>
      <w:r>
        <w:rPr>
          <w:rFonts w:hint="eastAsia" w:ascii="仿宋" w:hAnsi="仿宋" w:eastAsia="仿宋" w:cs="Segoe UI"/>
          <w:color w:val="0D0D0D"/>
          <w:kern w:val="0"/>
          <w:sz w:val="32"/>
          <w:szCs w:val="32"/>
        </w:rPr>
        <w:t>全年</w:t>
      </w:r>
      <w:r>
        <w:rPr>
          <w:rFonts w:ascii="仿宋" w:hAnsi="仿宋" w:eastAsia="仿宋" w:cs="Segoe UI"/>
          <w:color w:val="0D0D0D"/>
          <w:kern w:val="0"/>
          <w:sz w:val="32"/>
          <w:szCs w:val="32"/>
        </w:rPr>
        <w:t>组织</w:t>
      </w:r>
      <w:r>
        <w:rPr>
          <w:rFonts w:hint="eastAsia" w:ascii="仿宋" w:hAnsi="仿宋" w:eastAsia="仿宋" w:cs="Segoe UI"/>
          <w:color w:val="0D0D0D"/>
          <w:kern w:val="0"/>
          <w:sz w:val="32"/>
          <w:szCs w:val="32"/>
        </w:rPr>
        <w:t>全体</w:t>
      </w:r>
      <w:r>
        <w:rPr>
          <w:rFonts w:ascii="仿宋" w:hAnsi="仿宋" w:eastAsia="仿宋" w:cs="Segoe UI"/>
          <w:color w:val="0D0D0D"/>
          <w:kern w:val="0"/>
          <w:sz w:val="32"/>
          <w:szCs w:val="32"/>
        </w:rPr>
        <w:t>骑手系统</w:t>
      </w:r>
      <w:r>
        <w:rPr>
          <w:rFonts w:hint="eastAsia" w:ascii="仿宋" w:hAnsi="仿宋" w:eastAsia="仿宋" w:cs="Segoe UI"/>
          <w:color w:val="0D0D0D"/>
          <w:kern w:val="0"/>
          <w:sz w:val="32"/>
          <w:szCs w:val="32"/>
          <w:lang w:eastAsia="zh-CN"/>
        </w:rPr>
        <w:t>学习党的二十届四中全会精神</w:t>
      </w:r>
      <w:r>
        <w:rPr>
          <w:rFonts w:ascii="仿宋" w:hAnsi="仿宋" w:eastAsia="仿宋" w:cs="Segoe UI"/>
          <w:color w:val="0D0D0D"/>
          <w:kern w:val="0"/>
          <w:sz w:val="32"/>
          <w:szCs w:val="32"/>
        </w:rPr>
        <w:t>及各项惠民政策集中学习</w:t>
      </w:r>
      <w:r>
        <w:rPr>
          <w:rFonts w:hint="eastAsia" w:ascii="仿宋" w:hAnsi="仿宋" w:eastAsia="仿宋" w:cs="Segoe UI"/>
          <w:color w:val="0D0D0D"/>
          <w:kern w:val="0"/>
          <w:sz w:val="32"/>
          <w:szCs w:val="32"/>
        </w:rPr>
        <w:t>1次</w:t>
      </w:r>
      <w:r>
        <w:rPr>
          <w:rFonts w:ascii="仿宋" w:hAnsi="仿宋" w:eastAsia="仿宋" w:cs="Segoe UI"/>
          <w:color w:val="0D0D0D"/>
          <w:kern w:val="0"/>
          <w:sz w:val="32"/>
          <w:szCs w:val="32"/>
        </w:rPr>
        <w:t>，</w:t>
      </w:r>
      <w:r>
        <w:rPr>
          <w:rFonts w:hint="eastAsia" w:ascii="仿宋" w:hAnsi="仿宋" w:eastAsia="仿宋" w:cs="宋体"/>
          <w:bCs/>
          <w:color w:val="0D0D0D"/>
          <w:kern w:val="0"/>
          <w:sz w:val="32"/>
          <w:szCs w:val="32"/>
        </w:rPr>
        <w:t>多</w:t>
      </w:r>
      <w:r>
        <w:rPr>
          <w:rFonts w:hint="eastAsia" w:ascii="仿宋" w:hAnsi="仿宋" w:eastAsia="仿宋" w:cs="Segoe UI"/>
          <w:color w:val="0D0D0D"/>
          <w:kern w:val="0"/>
          <w:sz w:val="32"/>
          <w:szCs w:val="32"/>
        </w:rPr>
        <w:t>部门联合开展网约配送员、快递小哥</w:t>
      </w:r>
      <w:r>
        <w:rPr>
          <w:rFonts w:ascii="仿宋" w:hAnsi="仿宋" w:eastAsia="仿宋" w:cs="Segoe UI"/>
          <w:color w:val="0D0D0D"/>
          <w:kern w:val="0"/>
          <w:sz w:val="32"/>
          <w:szCs w:val="32"/>
        </w:rPr>
        <w:t>交通安全培训</w:t>
      </w:r>
      <w:r>
        <w:rPr>
          <w:rFonts w:hint="eastAsia" w:ascii="仿宋" w:hAnsi="仿宋" w:eastAsia="仿宋" w:cs="Segoe UI"/>
          <w:color w:val="0D0D0D"/>
          <w:kern w:val="0"/>
          <w:sz w:val="32"/>
          <w:szCs w:val="32"/>
        </w:rPr>
        <w:t>、食品安全宣传1次</w:t>
      </w:r>
      <w:r>
        <w:rPr>
          <w:rFonts w:hint="eastAsia" w:ascii="仿宋" w:hAnsi="仿宋" w:eastAsia="仿宋" w:cs="宋体"/>
          <w:bCs/>
          <w:color w:val="0D0D0D"/>
          <w:kern w:val="0"/>
          <w:sz w:val="32"/>
          <w:szCs w:val="32"/>
        </w:rPr>
        <w:t>，</w:t>
      </w:r>
      <w:r>
        <w:rPr>
          <w:rFonts w:ascii="仿宋" w:hAnsi="仿宋" w:eastAsia="仿宋" w:cs="Segoe UI"/>
          <w:color w:val="0D0D0D"/>
          <w:kern w:val="0"/>
          <w:sz w:val="32"/>
          <w:szCs w:val="32"/>
        </w:rPr>
        <w:t>发放</w:t>
      </w:r>
      <w:r>
        <w:rPr>
          <w:rFonts w:hint="eastAsia" w:ascii="仿宋" w:hAnsi="仿宋" w:eastAsia="仿宋" w:cs="Segoe UI"/>
          <w:color w:val="0D0D0D"/>
          <w:kern w:val="0"/>
          <w:sz w:val="32"/>
          <w:szCs w:val="32"/>
        </w:rPr>
        <w:t>各种</w:t>
      </w:r>
      <w:r>
        <w:rPr>
          <w:rFonts w:ascii="仿宋" w:hAnsi="仿宋" w:eastAsia="仿宋" w:cs="Segoe UI"/>
          <w:color w:val="0D0D0D"/>
          <w:kern w:val="0"/>
          <w:sz w:val="32"/>
          <w:szCs w:val="32"/>
        </w:rPr>
        <w:t>宣传册</w:t>
      </w:r>
      <w:r>
        <w:rPr>
          <w:rFonts w:hint="eastAsia" w:ascii="仿宋" w:hAnsi="仿宋" w:eastAsia="仿宋" w:cs="Segoe UI"/>
          <w:color w:val="0D0D0D"/>
          <w:kern w:val="0"/>
          <w:sz w:val="32"/>
          <w:szCs w:val="32"/>
        </w:rPr>
        <w:t>98</w:t>
      </w:r>
      <w:r>
        <w:rPr>
          <w:rFonts w:ascii="仿宋" w:hAnsi="仿宋" w:eastAsia="仿宋" w:cs="Segoe UI"/>
          <w:color w:val="0D0D0D"/>
          <w:kern w:val="0"/>
          <w:sz w:val="32"/>
          <w:szCs w:val="32"/>
        </w:rPr>
        <w:t>余份</w:t>
      </w:r>
      <w:r>
        <w:rPr>
          <w:rFonts w:hint="eastAsia" w:ascii="仿宋" w:hAnsi="仿宋" w:eastAsia="仿宋" w:cs="Segoe UI"/>
          <w:color w:val="0D0D0D"/>
          <w:kern w:val="0"/>
          <w:sz w:val="32"/>
          <w:szCs w:val="32"/>
          <w:lang w:eastAsia="zh-CN"/>
        </w:rPr>
        <w:t>；</w:t>
      </w:r>
      <w:r>
        <w:rPr>
          <w:rFonts w:hint="eastAsia" w:ascii="仿宋" w:hAnsi="仿宋" w:eastAsia="仿宋" w:cs="Segoe UI"/>
          <w:color w:val="0D0D0D"/>
          <w:kern w:val="0"/>
          <w:sz w:val="32"/>
          <w:szCs w:val="32"/>
          <w:lang w:val="en-US" w:eastAsia="zh-CN"/>
        </w:rPr>
        <w:t>通过</w:t>
      </w:r>
      <w:r>
        <w:rPr>
          <w:rFonts w:hint="eastAsia" w:ascii="仿宋" w:hAnsi="仿宋" w:eastAsia="仿宋" w:cs="Segoe UI"/>
          <w:color w:val="0D0D0D"/>
          <w:kern w:val="0"/>
          <w:sz w:val="32"/>
          <w:szCs w:val="32"/>
        </w:rPr>
        <w:t>关爱活动</w:t>
      </w:r>
      <w:r>
        <w:rPr>
          <w:rFonts w:hint="eastAsia" w:ascii="仿宋" w:hAnsi="仿宋" w:eastAsia="仿宋" w:cs="宋体"/>
          <w:bCs/>
          <w:color w:val="0D0D0D"/>
          <w:kern w:val="0"/>
          <w:sz w:val="32"/>
          <w:szCs w:val="32"/>
        </w:rPr>
        <w:t>开展暖冬为网约配送群体送温暖行动，发放包括帽子、围巾、保暖杯、棉衣棉裤等为主的暖冬爱心大礼包1套，传递组织关怀</w:t>
      </w:r>
      <w:r>
        <w:rPr>
          <w:rFonts w:ascii="仿宋" w:hAnsi="仿宋" w:eastAsia="仿宋" w:cs="宋体"/>
          <w:bCs/>
          <w:color w:val="0D0D0D"/>
          <w:kern w:val="0"/>
          <w:sz w:val="32"/>
          <w:szCs w:val="32"/>
        </w:rPr>
        <w:t>切实提升网约配送员群体的获得感与归属感</w:t>
      </w:r>
      <w:r>
        <w:rPr>
          <w:rFonts w:hint="eastAsia" w:ascii="仿宋" w:hAnsi="仿宋" w:eastAsia="仿宋" w:cs="宋体"/>
          <w:bCs/>
          <w:color w:val="0D0D0D"/>
          <w:kern w:val="0"/>
          <w:sz w:val="32"/>
          <w:szCs w:val="32"/>
          <w:lang w:eastAsia="zh-CN"/>
        </w:rPr>
        <w:t>；、</w:t>
      </w:r>
      <w:r>
        <w:rPr>
          <w:rFonts w:hint="eastAsia" w:ascii="仿宋" w:hAnsi="仿宋" w:eastAsia="仿宋" w:cs="宋体"/>
          <w:bCs/>
          <w:color w:val="0D0D0D"/>
          <w:kern w:val="0"/>
          <w:sz w:val="32"/>
          <w:szCs w:val="32"/>
        </w:rPr>
        <w:t>为网约配送员群体提供为期一年的常态化法律咨询服务，内容涵盖劳动权益、交通事故、合同纠纷等，不定期开展普法宣讲</w:t>
      </w:r>
      <w:r>
        <w:rPr>
          <w:rFonts w:hint="eastAsia" w:ascii="仿宋" w:hAnsi="仿宋" w:eastAsia="仿宋" w:cs="宋体"/>
          <w:bCs/>
          <w:color w:val="0D0D0D"/>
          <w:kern w:val="0"/>
          <w:sz w:val="32"/>
          <w:szCs w:val="32"/>
          <w:lang w:eastAsia="zh-CN"/>
        </w:rPr>
        <w:t>。</w:t>
      </w: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 w:eastAsia="仿宋_GB2312" w:cs="仿宋_GB2312"/>
          <w:sz w:val="32"/>
          <w:szCs w:val="32"/>
        </w:rPr>
      </w:pPr>
      <w:r>
        <w:rPr>
          <w:rFonts w:hint="eastAsia" w:ascii="仿宋_GB2312" w:hAnsi="仿宋_GB2312" w:eastAsia="仿宋_GB2312" w:cs="仿宋_GB2312"/>
          <w:b w:val="0"/>
          <w:bCs w:val="0"/>
          <w:color w:val="000000"/>
          <w:sz w:val="32"/>
          <w:szCs w:val="32"/>
          <w:lang w:val="en-US" w:eastAsia="zh-CN"/>
        </w:rPr>
        <w:t>我们通过全面复盘、深入研判，清醒认识到当前工作仍存在短板与不足，制约着市场监管效能的进一步提升监管人员在相关领域的专业知识储备不足，缺乏有效的监管手段和方法，影响了市场环境的整体提升。</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pPr>
        <w:ind w:firstLine="1600" w:firstLineChars="500"/>
        <w:rPr>
          <w:rFonts w:hint="eastAsia" w:ascii="仿宋_GB2312" w:hAnsi="仿宋_GB2312" w:eastAsia="仿宋_GB2312" w:cs="仿宋_GB2312"/>
          <w:b w:val="0"/>
          <w:bCs w:val="0"/>
          <w:color w:val="000000"/>
          <w:kern w:val="0"/>
          <w:position w:val="3"/>
          <w:sz w:val="32"/>
          <w:szCs w:val="32"/>
          <w:lang w:val="en-US" w:eastAsia="zh-CN" w:bidi="ar-SA"/>
        </w:rPr>
      </w:pPr>
      <w:r>
        <w:rPr>
          <w:rFonts w:hint="eastAsia" w:ascii="仿宋_GB2312" w:hAnsi="仿宋_GB2312" w:eastAsia="仿宋_GB2312" w:cs="仿宋_GB2312"/>
          <w:b w:val="0"/>
          <w:bCs w:val="0"/>
          <w:color w:val="000000"/>
          <w:kern w:val="0"/>
          <w:position w:val="3"/>
          <w:sz w:val="32"/>
          <w:szCs w:val="32"/>
          <w:lang w:val="en-US" w:eastAsia="zh-CN" w:bidi="ar-SA"/>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仿宋">
    <w:altName w:val="汉仪仿宋简"/>
    <w:panose1 w:val="02010600040101010101"/>
    <w:charset w:val="86"/>
    <w:family w:val="auto"/>
    <w:pitch w:val="default"/>
    <w:sig w:usb0="00000000" w:usb1="00000000" w:usb2="00000000" w:usb3="00000000" w:csb0="0004009F" w:csb1="DFD70000"/>
  </w:font>
  <w:font w:name="汉仪仿宋简">
    <w:panose1 w:val="02010600000101010101"/>
    <w:charset w:val="86"/>
    <w:family w:val="auto"/>
    <w:pitch w:val="default"/>
    <w:sig w:usb0="00000001" w:usb1="080E0800" w:usb2="00000002" w:usb3="00000000" w:csb0="00040000" w:csb1="00000000"/>
  </w:font>
  <w:font w:name="Segoe UI">
    <w:altName w:val="Noto Naskh Arabic"/>
    <w:panose1 w:val="020B0502040204020203"/>
    <w:charset w:val="00"/>
    <w:family w:val="swiss"/>
    <w:pitch w:val="default"/>
    <w:sig w:usb0="00000000" w:usb1="00000000" w:usb2="00000009" w:usb3="00000000" w:csb0="200001FF" w:csb1="00000000"/>
  </w:font>
  <w:font w:name="Noto Naskh Arabic">
    <w:panose1 w:val="020B0502040504020204"/>
    <w:charset w:val="00"/>
    <w:family w:val="auto"/>
    <w:pitch w:val="default"/>
    <w:sig w:usb0="80002003" w:usb1="80002000" w:usb2="00000008" w:usb3="00000000" w:csb0="00000041" w:csb1="000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822FEE"/>
    <w:multiLevelType w:val="singleLevel"/>
    <w:tmpl w:val="84822FE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5277667"/>
    <w:rsid w:val="100566B3"/>
    <w:rsid w:val="112F5B47"/>
    <w:rsid w:val="1B4A3EC4"/>
    <w:rsid w:val="1F887BDD"/>
    <w:rsid w:val="2439349C"/>
    <w:rsid w:val="244E01D1"/>
    <w:rsid w:val="28D24711"/>
    <w:rsid w:val="33DA011B"/>
    <w:rsid w:val="358B1B11"/>
    <w:rsid w:val="3A2A29A9"/>
    <w:rsid w:val="423607D0"/>
    <w:rsid w:val="437C1635"/>
    <w:rsid w:val="48DB01C7"/>
    <w:rsid w:val="4A0B0DD8"/>
    <w:rsid w:val="52F32D9B"/>
    <w:rsid w:val="55704B34"/>
    <w:rsid w:val="57B166CC"/>
    <w:rsid w:val="582C1122"/>
    <w:rsid w:val="5BC87CF7"/>
    <w:rsid w:val="5DBC40E7"/>
    <w:rsid w:val="5EBE23F5"/>
    <w:rsid w:val="73BE6CBE"/>
    <w:rsid w:val="759B240A"/>
    <w:rsid w:val="77991202"/>
    <w:rsid w:val="7E012B5A"/>
    <w:rsid w:val="FABFAF29"/>
    <w:rsid w:val="FDEEB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4">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semiHidden/>
    <w:qFormat/>
    <w:uiPriority w:val="99"/>
    <w:rPr>
      <w:sz w:val="18"/>
      <w:szCs w:val="18"/>
    </w:rPr>
  </w:style>
  <w:style w:type="character" w:customStyle="1" w:styleId="9">
    <w:name w:val="页脚 Char"/>
    <w:basedOn w:val="7"/>
    <w:link w:val="4"/>
    <w:semiHidden/>
    <w:qFormat/>
    <w:uiPriority w:val="99"/>
    <w:rPr>
      <w:sz w:val="18"/>
      <w:szCs w:val="18"/>
    </w:rPr>
  </w:style>
  <w:style w:type="character" w:customStyle="1" w:styleId="10">
    <w:name w:val="标题 1 Char"/>
    <w:basedOn w:val="7"/>
    <w:link w:val="2"/>
    <w:qFormat/>
    <w:uiPriority w:val="9"/>
    <w:rPr>
      <w:rFonts w:ascii="Times New Roman" w:hAnsi="Times New Roman" w:eastAsia="宋体" w:cs="Times New Roman"/>
      <w:b/>
      <w:bCs/>
      <w:kern w:val="44"/>
      <w:sz w:val="44"/>
      <w:szCs w:val="44"/>
    </w:rPr>
  </w:style>
  <w:style w:type="paragraph" w:customStyle="1" w:styleId="1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5</Pages>
  <Words>2157</Words>
  <Characters>2193</Characters>
  <Lines>2</Lines>
  <Paragraphs>1</Paragraphs>
  <TotalTime>3</TotalTime>
  <ScaleCrop>false</ScaleCrop>
  <LinksUpToDate>false</LinksUpToDate>
  <CharactersWithSpaces>2194</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2026-09-21T11:21:56Z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CD14128851FF4C64A5534974F19A36DC</vt:lpwstr>
  </property>
  <property fmtid="{D5CDD505-2E9C-101B-9397-08002B2CF9AE}" pid="4" name="KSOTemplateDocerSaveRecord">
    <vt:lpwstr>eyJoZGlkIjoiNzJlNTE0NmVhNzgwOTU3ZjViYmFjNmNhMDU2NjZhZjUiLCJ1c2VySWQiOiI1OTE0OTIzOTUifQ==</vt:lpwstr>
  </property>
</Properties>
</file>