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48F753">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烟草专项</w:t>
      </w:r>
      <w:r>
        <w:rPr>
          <w:rFonts w:hint="eastAsia" w:ascii="仿宋_GB2312" w:hAnsi="黑体" w:eastAsia="仿宋_GB2312" w:cs="方正小标宋简体"/>
          <w:b/>
          <w:sz w:val="32"/>
          <w:szCs w:val="32"/>
        </w:rPr>
        <w:t>项目支出绩效评价报告</w:t>
      </w:r>
    </w:p>
    <w:p w14:paraId="7F479E24">
      <w:pPr>
        <w:spacing w:line="580" w:lineRule="exact"/>
        <w:ind w:firstLine="640" w:firstLineChars="200"/>
        <w:rPr>
          <w:rFonts w:ascii="仿宋_GB2312" w:hAnsi="仿宋_GB2312" w:eastAsia="仿宋_GB2312" w:cs="仿宋_GB2312"/>
          <w:sz w:val="32"/>
          <w:szCs w:val="32"/>
        </w:rPr>
      </w:pPr>
    </w:p>
    <w:p w14:paraId="79322761">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14:paraId="44D49C9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default"/>
          <w:lang w:val="en-US" w:eastAsia="zh-CN"/>
        </w:rPr>
      </w:pPr>
      <w:r>
        <w:rPr>
          <w:rFonts w:hint="eastAsia" w:ascii="仿宋_GB2312" w:hAnsi="仿宋_GB2312" w:cs="仿宋_GB2312"/>
          <w:color w:val="2B2B2B"/>
          <w:kern w:val="0"/>
          <w:sz w:val="32"/>
          <w:szCs w:val="32"/>
          <w:lang w:val="en-US" w:eastAsia="zh-CN"/>
        </w:rPr>
        <w:t>为了</w:t>
      </w:r>
      <w:r>
        <w:rPr>
          <w:rFonts w:hint="default" w:ascii="仿宋_GB2312" w:hAnsi="仿宋_GB2312" w:eastAsia="仿宋_GB2312" w:cs="仿宋_GB2312"/>
          <w:color w:val="2B2B2B"/>
          <w:kern w:val="0"/>
          <w:sz w:val="32"/>
          <w:szCs w:val="32"/>
          <w:lang w:val="en-US" w:eastAsia="zh-CN"/>
        </w:rPr>
        <w:t>烟草市场秩序得到进一步规范</w:t>
      </w:r>
      <w:r>
        <w:rPr>
          <w:rFonts w:hint="eastAsia" w:ascii="仿宋_GB2312" w:hAnsi="仿宋_GB2312" w:cs="仿宋_GB2312"/>
          <w:color w:val="2B2B2B"/>
          <w:kern w:val="0"/>
          <w:sz w:val="32"/>
          <w:szCs w:val="32"/>
          <w:lang w:val="en-US" w:eastAsia="zh-CN"/>
        </w:rPr>
        <w:t>，</w:t>
      </w:r>
      <w:r>
        <w:rPr>
          <w:rFonts w:hint="default" w:ascii="仿宋_GB2312" w:hAnsi="仿宋_GB2312" w:eastAsia="仿宋_GB2312" w:cs="仿宋_GB2312"/>
          <w:color w:val="2B2B2B"/>
          <w:kern w:val="0"/>
          <w:sz w:val="32"/>
          <w:szCs w:val="32"/>
          <w:lang w:val="en-US" w:eastAsia="zh-CN"/>
        </w:rPr>
        <w:t>组织开展了烟草市场专项执法行动。坚持“执法与普法并重”的原则，将普法宣传贯穿于专项行动的全过程</w:t>
      </w:r>
      <w:r>
        <w:rPr>
          <w:rFonts w:hint="eastAsia" w:ascii="仿宋_GB2312" w:hAnsi="仿宋_GB2312" w:cs="仿宋_GB2312"/>
          <w:color w:val="2B2B2B"/>
          <w:kern w:val="0"/>
          <w:sz w:val="32"/>
          <w:szCs w:val="32"/>
          <w:lang w:val="en-US" w:eastAsia="zh-CN"/>
        </w:rPr>
        <w:t>，</w:t>
      </w:r>
      <w:r>
        <w:rPr>
          <w:rFonts w:hint="default" w:ascii="仿宋_GB2312" w:hAnsi="仿宋_GB2312" w:eastAsia="仿宋_GB2312" w:cs="仿宋_GB2312"/>
          <w:color w:val="2B2B2B"/>
          <w:kern w:val="0"/>
          <w:sz w:val="32"/>
          <w:szCs w:val="32"/>
          <w:lang w:val="en-US" w:eastAsia="zh-CN"/>
        </w:rPr>
        <w:t>为解决一线执法人员及经营户在烟草识别上的专业短板，主动加强与烟草专卖部门的协作配合，积极构建联合监管机制。</w:t>
      </w:r>
    </w:p>
    <w:p w14:paraId="10EC3450">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120066C4">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14:paraId="781445E2">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烟草监管补助资金预算项目绩效自评得分97.9分，</w:t>
      </w:r>
      <w:r>
        <w:rPr>
          <w:rFonts w:hint="eastAsia" w:ascii="Times New Roman" w:hAnsi="Times New Roman" w:eastAsia="仿宋_GB2312" w:cs="Times New Roman"/>
          <w:spacing w:val="-4"/>
          <w:kern w:val="2"/>
          <w:sz w:val="30"/>
          <w:szCs w:val="30"/>
          <w:lang w:val="en-US" w:eastAsia="zh-CN"/>
        </w:rPr>
        <w:t>大力普及</w:t>
      </w:r>
      <w:r>
        <w:rPr>
          <w:rFonts w:hint="default" w:ascii="Times New Roman" w:hAnsi="Times New Roman" w:eastAsia="仿宋_GB2312" w:cs="Times New Roman"/>
          <w:spacing w:val="-4"/>
          <w:kern w:val="2"/>
          <w:sz w:val="30"/>
          <w:szCs w:val="30"/>
          <w:lang w:val="en-US" w:eastAsia="zh-CN"/>
        </w:rPr>
        <w:t>烟草</w:t>
      </w:r>
      <w:r>
        <w:rPr>
          <w:rFonts w:hint="eastAsia" w:ascii="Times New Roman" w:hAnsi="Times New Roman" w:eastAsia="仿宋_GB2312" w:cs="Times New Roman"/>
          <w:spacing w:val="-4"/>
          <w:kern w:val="2"/>
          <w:sz w:val="30"/>
          <w:szCs w:val="30"/>
          <w:lang w:val="en-US" w:eastAsia="zh-CN"/>
        </w:rPr>
        <w:t>真</w:t>
      </w:r>
      <w:r>
        <w:rPr>
          <w:rFonts w:hint="default" w:ascii="Times New Roman" w:hAnsi="Times New Roman" w:eastAsia="仿宋_GB2312" w:cs="Times New Roman"/>
          <w:spacing w:val="-4"/>
          <w:kern w:val="2"/>
          <w:sz w:val="30"/>
          <w:szCs w:val="30"/>
          <w:lang w:val="en-US" w:eastAsia="zh-CN"/>
        </w:rPr>
        <w:t>假识别</w:t>
      </w:r>
      <w:r>
        <w:rPr>
          <w:rFonts w:hint="eastAsia" w:ascii="Times New Roman" w:hAnsi="Times New Roman" w:eastAsia="仿宋_GB2312" w:cs="Times New Roman"/>
          <w:spacing w:val="-4"/>
          <w:kern w:val="2"/>
          <w:sz w:val="30"/>
          <w:szCs w:val="30"/>
          <w:lang w:val="en-US" w:eastAsia="zh-CN"/>
        </w:rPr>
        <w:t>知识，</w:t>
      </w:r>
      <w:r>
        <w:rPr>
          <w:rFonts w:hint="default" w:ascii="Times New Roman" w:hAnsi="Times New Roman" w:eastAsia="仿宋_GB2312" w:cs="Times New Roman"/>
          <w:spacing w:val="-4"/>
          <w:kern w:val="2"/>
          <w:sz w:val="30"/>
          <w:szCs w:val="30"/>
          <w:lang w:val="en-US" w:eastAsia="zh-CN"/>
        </w:rPr>
        <w:t>严厉打击涉烟违法行为，切实维护国家利益和消费者合法权益</w:t>
      </w:r>
      <w:r>
        <w:rPr>
          <w:rFonts w:hint="eastAsia" w:ascii="Times New Roman" w:hAnsi="Times New Roman" w:eastAsia="仿宋_GB2312" w:cs="Times New Roman"/>
          <w:spacing w:val="-4"/>
          <w:kern w:val="2"/>
          <w:sz w:val="30"/>
          <w:szCs w:val="30"/>
          <w:lang w:val="en-US" w:eastAsia="zh-CN"/>
        </w:rPr>
        <w:t>，确保市场秩序平稳。</w:t>
      </w:r>
    </w:p>
    <w:p w14:paraId="642A4863">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5A82EAAC">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14:paraId="4E85880B">
      <w:pPr>
        <w:spacing w:line="580" w:lineRule="exact"/>
        <w:ind w:firstLine="640" w:firstLineChars="200"/>
      </w:pPr>
      <w:r>
        <w:rPr>
          <w:rFonts w:hint="eastAsia" w:ascii="Times New Roman" w:hAnsi="Times New Roman" w:eastAsia="仿宋_GB2312" w:cs="Times New Roman"/>
          <w:color w:val="auto"/>
          <w:sz w:val="32"/>
          <w:szCs w:val="32"/>
          <w:lang w:val="en-US" w:eastAsia="zh-CN"/>
        </w:rPr>
        <w:t>项目决策程序严密，项目立项、调整延续等方面符合资金管理基本规范和决策程序要求等方面的要求，项目规划是按照中央、省委省政府有关决策部署安排的要求，充分评估论证项目立项必要性、前瞻性、合理性和可行性，项目绩效目标设置科学合理。</w:t>
      </w:r>
      <w:r>
        <w:rPr>
          <w:rFonts w:hint="eastAsia" w:eastAsia="仿宋_GB2312" w:cs="Times New Roman"/>
          <w:color w:val="auto"/>
          <w:sz w:val="32"/>
          <w:szCs w:val="32"/>
          <w:lang w:val="en-US" w:eastAsia="zh-CN"/>
        </w:rPr>
        <w:t>项目是按中央、省委</w:t>
      </w:r>
      <w:bookmarkStart w:id="0" w:name="_GoBack"/>
      <w:bookmarkEnd w:id="0"/>
      <w:r>
        <w:rPr>
          <w:rFonts w:hint="eastAsia" w:eastAsia="仿宋_GB2312" w:cs="Times New Roman"/>
          <w:color w:val="auto"/>
          <w:sz w:val="32"/>
          <w:szCs w:val="32"/>
          <w:lang w:val="en-US" w:eastAsia="zh-CN"/>
        </w:rPr>
        <w:t>要求全面完成绩效目标（含事前评估）、绩效评价、以前年度问题整改等预算绩效</w:t>
      </w:r>
      <w:r>
        <w:rPr>
          <w:rFonts w:hint="eastAsia" w:ascii="Times New Roman" w:hAnsi="Times New Roman" w:eastAsia="仿宋_GB2312" w:cs="Times New Roman"/>
          <w:color w:val="auto"/>
          <w:sz w:val="32"/>
          <w:szCs w:val="32"/>
          <w:lang w:val="en-US" w:eastAsia="zh-CN"/>
        </w:rPr>
        <w:t>管理工作，定期、不定期开展绩效评价工作。</w:t>
      </w:r>
    </w:p>
    <w:p w14:paraId="59F8E13E">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4F2C402B">
      <w:pPr>
        <w:spacing w:line="580" w:lineRule="exact"/>
        <w:ind w:firstLine="640" w:firstLineChars="200"/>
      </w:pPr>
      <w:r>
        <w:rPr>
          <w:rFonts w:hint="eastAsia" w:ascii="Times New Roman" w:hAnsi="Times New Roman" w:eastAsia="仿宋_GB2312" w:cs="Times New Roman"/>
          <w:color w:val="auto"/>
          <w:sz w:val="32"/>
          <w:szCs w:val="32"/>
          <w:lang w:val="en-US" w:eastAsia="zh-CN"/>
        </w:rPr>
        <w:t>建立健全项目管理制度体系，不存在管理制度缺失、管理办法过期情况，资金是根据我县发展实际和发展需求进行分配的，资金区域分布结果公平合理，分配依据充分合理项目申报审核程序是按规定程序履行项目审批，上级下达资金</w:t>
      </w:r>
      <w:r>
        <w:rPr>
          <w:rFonts w:hint="eastAsia" w:eastAsia="仿宋_GB2312" w:cs="Times New Roman"/>
          <w:color w:val="auto"/>
          <w:sz w:val="32"/>
          <w:szCs w:val="32"/>
          <w:lang w:val="en-US" w:eastAsia="zh-CN"/>
        </w:rPr>
        <w:t>3</w:t>
      </w:r>
      <w:r>
        <w:rPr>
          <w:rFonts w:hint="eastAsia" w:ascii="Times New Roman" w:hAnsi="Times New Roman" w:eastAsia="仿宋_GB2312" w:cs="Times New Roman"/>
          <w:color w:val="auto"/>
          <w:sz w:val="32"/>
          <w:szCs w:val="32"/>
          <w:lang w:val="en-US" w:eastAsia="zh-CN"/>
        </w:rPr>
        <w:t>万元，支出</w:t>
      </w:r>
      <w:r>
        <w:rPr>
          <w:rFonts w:hint="eastAsia" w:eastAsia="仿宋_GB2312" w:cs="Times New Roman"/>
          <w:color w:val="auto"/>
          <w:sz w:val="32"/>
          <w:szCs w:val="32"/>
          <w:lang w:val="en-US" w:eastAsia="zh-CN"/>
        </w:rPr>
        <w:t>2.99</w:t>
      </w:r>
      <w:r>
        <w:rPr>
          <w:rFonts w:hint="eastAsia" w:ascii="Times New Roman" w:hAnsi="Times New Roman" w:eastAsia="仿宋_GB2312" w:cs="Times New Roman"/>
          <w:color w:val="auto"/>
          <w:sz w:val="32"/>
          <w:szCs w:val="32"/>
          <w:lang w:val="en-US" w:eastAsia="zh-CN"/>
        </w:rPr>
        <w:t>万元</w:t>
      </w:r>
      <w:r>
        <w:rPr>
          <w:rFonts w:hint="eastAsia" w:eastAsia="仿宋_GB2312" w:cs="Times New Roman"/>
          <w:color w:val="auto"/>
          <w:sz w:val="32"/>
          <w:szCs w:val="32"/>
          <w:lang w:val="en-US" w:eastAsia="zh-CN"/>
        </w:rPr>
        <w:t>，结余上缴财政</w:t>
      </w:r>
      <w:r>
        <w:rPr>
          <w:rFonts w:hint="eastAsia" w:ascii="Times New Roman" w:hAnsi="Times New Roman" w:eastAsia="仿宋_GB2312" w:cs="Times New Roman"/>
          <w:color w:val="auto"/>
          <w:sz w:val="32"/>
          <w:szCs w:val="32"/>
          <w:lang w:val="en-US" w:eastAsia="zh-CN"/>
        </w:rPr>
        <w:t>。</w:t>
      </w:r>
      <w:r>
        <w:rPr>
          <w:rFonts w:hint="eastAsia" w:ascii="仿宋" w:hAnsi="仿宋" w:eastAsia="仿宋" w:cs="仿宋"/>
          <w:sz w:val="32"/>
          <w:szCs w:val="32"/>
          <w:highlight w:val="none"/>
          <w:lang w:val="en-US" w:eastAsia="zh-CN"/>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w:t>
      </w:r>
    </w:p>
    <w:p w14:paraId="74582A1E">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3、项目绩效</w:t>
      </w:r>
    </w:p>
    <w:p w14:paraId="67633E39">
      <w:pPr>
        <w:spacing w:line="580" w:lineRule="exact"/>
        <w:ind w:firstLine="640" w:firstLineChars="200"/>
        <w:rPr>
          <w:rFonts w:ascii="仿宋_GB2312" w:hAnsi="仿宋" w:eastAsia="仿宋_GB2312" w:cs="仿宋_GB2312"/>
          <w:sz w:val="32"/>
          <w:szCs w:val="32"/>
        </w:rPr>
      </w:pPr>
      <w:r>
        <w:rPr>
          <w:rFonts w:hint="default" w:ascii="仿宋_GB2312" w:hAnsi="仿宋_GB2312" w:eastAsia="仿宋_GB2312" w:cs="仿宋_GB2312"/>
          <w:color w:val="2B2B2B"/>
          <w:kern w:val="0"/>
          <w:sz w:val="32"/>
          <w:szCs w:val="32"/>
          <w:lang w:val="en-US" w:eastAsia="zh-CN"/>
        </w:rPr>
        <w:t>开展全覆盖式普法</w:t>
      </w:r>
      <w:r>
        <w:rPr>
          <w:rFonts w:hint="eastAsia" w:ascii="仿宋_GB2312" w:hAnsi="仿宋_GB2312" w:cs="仿宋_GB2312"/>
          <w:color w:val="2B2B2B"/>
          <w:kern w:val="0"/>
          <w:sz w:val="32"/>
          <w:szCs w:val="32"/>
          <w:lang w:val="en-US" w:eastAsia="zh-CN"/>
        </w:rPr>
        <w:t>，</w:t>
      </w:r>
      <w:r>
        <w:rPr>
          <w:rFonts w:hint="default" w:ascii="仿宋_GB2312" w:hAnsi="仿宋_GB2312" w:eastAsia="仿宋_GB2312" w:cs="仿宋_GB2312"/>
          <w:color w:val="2B2B2B"/>
          <w:kern w:val="0"/>
          <w:sz w:val="32"/>
          <w:szCs w:val="32"/>
          <w:lang w:val="en-US" w:eastAsia="zh-CN"/>
        </w:rPr>
        <w:t>执法人员深入辖区卷烟零售户、商超、便利店等经营场所，采取“一对一”讲解、发放宣传单页等方式，重点宣传《中华人民共和国烟草专卖法》《中华人民共和国未成年人保护法》等相关法律法规。重点强调了“禁止向未成年人销售烟草制品”的法律红线，引导经营户自觉守法经营，拒绝销售非法烟草制品。在主要商业街区、农贸市场等人员密集场所公布举报电话，鼓励群众积极举报涉烟违法线索，形成了全社会共同参与烟草市场监管的良好氛围。行动期间，共发放宣传资料</w:t>
      </w:r>
      <w:r>
        <w:rPr>
          <w:rFonts w:hint="eastAsia" w:ascii="仿宋_GB2312" w:hAnsi="仿宋_GB2312" w:eastAsia="仿宋_GB2312" w:cs="仿宋_GB2312"/>
          <w:color w:val="2B2B2B"/>
          <w:kern w:val="0"/>
          <w:sz w:val="32"/>
          <w:szCs w:val="32"/>
          <w:lang w:val="en-US" w:eastAsia="zh-CN"/>
        </w:rPr>
        <w:t>3000余</w:t>
      </w:r>
      <w:r>
        <w:rPr>
          <w:rFonts w:hint="default" w:ascii="仿宋_GB2312" w:hAnsi="仿宋_GB2312" w:eastAsia="仿宋_GB2312" w:cs="仿宋_GB2312"/>
          <w:color w:val="2B2B2B"/>
          <w:kern w:val="0"/>
          <w:sz w:val="32"/>
          <w:szCs w:val="32"/>
          <w:lang w:val="en-US" w:eastAsia="zh-CN"/>
        </w:rPr>
        <w:t>份邀请烟草专卖局业务骨干，组织辖区重点烟草经营户及一线监管人员召开了“烟草市场规范经营暨假烟识别专题培训会”。烟草部门的专家利用实物对比、图文演示等方式，详细讲解了常见假冒卷烟的包装特征、印刷工艺、防伪标识、钢印码段等鉴别技巧，以及真烟与假烟在烟丝色泽、吸味口感上的区别。同时，结合典型案例，剖析了当前不法分子通过互联网、物流寄递渠道贩售假烟的新特点、新手段。通过培训，不仅提升了经营户的自我辨别能力和拒假意识，也有效提高了我局执法人员在实际检查中发现案源、固定证据的专业水平。以学校周边、</w:t>
      </w:r>
      <w:r>
        <w:rPr>
          <w:rFonts w:hint="eastAsia" w:ascii="仿宋_GB2312" w:hAnsi="仿宋_GB2312" w:eastAsia="仿宋_GB2312" w:cs="仿宋_GB2312"/>
          <w:color w:val="2B2B2B"/>
          <w:kern w:val="0"/>
          <w:sz w:val="32"/>
          <w:szCs w:val="32"/>
          <w:lang w:val="en-US" w:eastAsia="zh-CN"/>
        </w:rPr>
        <w:t>商超、</w:t>
      </w:r>
      <w:r>
        <w:rPr>
          <w:rFonts w:hint="default" w:ascii="仿宋_GB2312" w:hAnsi="仿宋_GB2312" w:eastAsia="仿宋_GB2312" w:cs="仿宋_GB2312"/>
          <w:color w:val="2B2B2B"/>
          <w:kern w:val="0"/>
          <w:sz w:val="32"/>
          <w:szCs w:val="32"/>
          <w:lang w:val="en-US" w:eastAsia="zh-CN"/>
        </w:rPr>
        <w:t>市场为重点区域，以名烟名酒店、连锁便利店、曾有违法记录的经营户为重点对象，重点检查是否存在无</w:t>
      </w:r>
      <w:r>
        <w:rPr>
          <w:rFonts w:hint="eastAsia" w:ascii="仿宋_GB2312" w:hAnsi="仿宋_GB2312" w:eastAsia="仿宋_GB2312" w:cs="仿宋_GB2312"/>
          <w:color w:val="2B2B2B"/>
          <w:kern w:val="0"/>
          <w:sz w:val="32"/>
          <w:szCs w:val="32"/>
          <w:lang w:val="en-US" w:eastAsia="zh-CN"/>
        </w:rPr>
        <w:t>照</w:t>
      </w:r>
      <w:r>
        <w:rPr>
          <w:rFonts w:hint="default" w:ascii="仿宋_GB2312" w:hAnsi="仿宋_GB2312" w:eastAsia="仿宋_GB2312" w:cs="仿宋_GB2312"/>
          <w:color w:val="2B2B2B"/>
          <w:kern w:val="0"/>
          <w:sz w:val="32"/>
          <w:szCs w:val="32"/>
          <w:lang w:val="en-US" w:eastAsia="zh-CN"/>
        </w:rPr>
        <w:t>经营、销售假冒注册商标卷烟、销售走私烟、未按规定设置“禁止向未成年人销售”标识等违法行为。 行动期间，共出动执法人员</w:t>
      </w:r>
      <w:r>
        <w:rPr>
          <w:rFonts w:hint="eastAsia" w:ascii="仿宋_GB2312" w:hAnsi="仿宋_GB2312" w:eastAsia="仿宋_GB2312" w:cs="仿宋_GB2312"/>
          <w:color w:val="2B2B2B"/>
          <w:kern w:val="0"/>
          <w:sz w:val="32"/>
          <w:szCs w:val="32"/>
          <w:lang w:val="en-US" w:eastAsia="zh-CN"/>
        </w:rPr>
        <w:t>25</w:t>
      </w:r>
      <w:r>
        <w:rPr>
          <w:rFonts w:hint="default" w:ascii="仿宋_GB2312" w:hAnsi="仿宋_GB2312" w:eastAsia="仿宋_GB2312" w:cs="仿宋_GB2312"/>
          <w:color w:val="2B2B2B"/>
          <w:kern w:val="0"/>
          <w:sz w:val="32"/>
          <w:szCs w:val="32"/>
          <w:lang w:val="en-US" w:eastAsia="zh-CN"/>
        </w:rPr>
        <w:t>人次，检查烟草经营主</w:t>
      </w:r>
    </w:p>
    <w:p w14:paraId="3D140013">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14:paraId="5568A63C">
      <w:pPr>
        <w:pStyle w:val="2"/>
        <w:numPr>
          <w:ilvl w:val="0"/>
          <w:numId w:val="0"/>
        </w:numPr>
        <w:ind w:leftChars="0" w:firstLine="1920" w:firstLineChars="600"/>
        <w:rPr>
          <w:rFonts w:hint="eastAsia" w:ascii="仿宋_GB2312" w:hAnsi="仿宋_GB2312" w:eastAsia="仿宋_GB2312" w:cs="仿宋_GB2312"/>
          <w:color w:val="2B2B2B"/>
          <w:kern w:val="0"/>
          <w:sz w:val="32"/>
          <w:szCs w:val="32"/>
          <w:lang w:val="en-US" w:eastAsia="zh-CN" w:bidi="ar-SA"/>
        </w:rPr>
      </w:pPr>
      <w:r>
        <w:rPr>
          <w:rFonts w:hint="eastAsia" w:ascii="仿宋_GB2312" w:hAnsi="仿宋_GB2312" w:eastAsia="仿宋_GB2312" w:cs="仿宋_GB2312"/>
          <w:color w:val="2B2B2B"/>
          <w:kern w:val="0"/>
          <w:sz w:val="32"/>
          <w:szCs w:val="32"/>
          <w:lang w:val="en-US" w:eastAsia="zh-CN" w:bidi="ar-SA"/>
        </w:rPr>
        <w:t>无</w:t>
      </w:r>
    </w:p>
    <w:p w14:paraId="0CC48B0D">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四、相关措施建议</w:t>
      </w:r>
    </w:p>
    <w:p w14:paraId="69026FDD">
      <w:pPr>
        <w:ind w:firstLine="1920" w:firstLineChars="600"/>
      </w:pPr>
      <w:r>
        <w:rPr>
          <w:rFonts w:hint="eastAsia" w:ascii="仿宋_GB2312" w:hAnsi="仿宋_GB2312" w:eastAsia="仿宋_GB2312" w:cs="仿宋_GB2312"/>
          <w:color w:val="2B2B2B"/>
          <w:kern w:val="0"/>
          <w:sz w:val="32"/>
          <w:szCs w:val="32"/>
          <w:lang w:val="en-US" w:eastAsia="zh-CN" w:bidi="ar-SA"/>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CE9BA6"/>
    <w:multiLevelType w:val="singleLevel"/>
    <w:tmpl w:val="0CCE9BA6"/>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100566B3"/>
    <w:rsid w:val="1B4A3EC4"/>
    <w:rsid w:val="1B514C3C"/>
    <w:rsid w:val="1F887BDD"/>
    <w:rsid w:val="2439349C"/>
    <w:rsid w:val="244E01D1"/>
    <w:rsid w:val="2E16575D"/>
    <w:rsid w:val="305B3E0B"/>
    <w:rsid w:val="33DA011B"/>
    <w:rsid w:val="34BB756E"/>
    <w:rsid w:val="358B1B11"/>
    <w:rsid w:val="35AF7A0E"/>
    <w:rsid w:val="360B358D"/>
    <w:rsid w:val="38176F84"/>
    <w:rsid w:val="423607D0"/>
    <w:rsid w:val="442871E5"/>
    <w:rsid w:val="4A01737A"/>
    <w:rsid w:val="4A0B0DD8"/>
    <w:rsid w:val="55704B34"/>
    <w:rsid w:val="57B166CC"/>
    <w:rsid w:val="5CA027C4"/>
    <w:rsid w:val="5DBC40E7"/>
    <w:rsid w:val="686114C1"/>
    <w:rsid w:val="77991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200" w:leftChars="200" w:hanging="200" w:hangingChars="200"/>
    </w:p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Char"/>
    <w:basedOn w:val="8"/>
    <w:link w:val="6"/>
    <w:semiHidden/>
    <w:qFormat/>
    <w:uiPriority w:val="99"/>
    <w:rPr>
      <w:sz w:val="18"/>
      <w:szCs w:val="18"/>
    </w:rPr>
  </w:style>
  <w:style w:type="character" w:customStyle="1" w:styleId="10">
    <w:name w:val="页脚 Char"/>
    <w:basedOn w:val="8"/>
    <w:link w:val="5"/>
    <w:semiHidden/>
    <w:qFormat/>
    <w:uiPriority w:val="99"/>
    <w:rPr>
      <w:sz w:val="18"/>
      <w:szCs w:val="18"/>
    </w:rPr>
  </w:style>
  <w:style w:type="character" w:customStyle="1" w:styleId="11">
    <w:name w:val="标题 1 Char"/>
    <w:basedOn w:val="8"/>
    <w:link w:val="3"/>
    <w:qFormat/>
    <w:uiPriority w:val="9"/>
    <w:rPr>
      <w:rFonts w:ascii="Times New Roman" w:hAnsi="Times New Roman" w:eastAsia="宋体" w:cs="Times New Roman"/>
      <w:b/>
      <w:bCs/>
      <w:kern w:val="44"/>
      <w:sz w:val="44"/>
      <w:szCs w:val="44"/>
    </w:rPr>
  </w:style>
  <w:style w:type="paragraph" w:customStyle="1" w:styleId="1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3</Pages>
  <Words>1267</Words>
  <Characters>1280</Characters>
  <Lines>2</Lines>
  <Paragraphs>1</Paragraphs>
  <TotalTime>1</TotalTime>
  <ScaleCrop>false</ScaleCrop>
  <LinksUpToDate>false</LinksUpToDate>
  <CharactersWithSpaces>1281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1:1</cp:lastModifiedBy>
  <dcterms:modified xsi:type="dcterms:W3CDTF">2026-08-26T02:35:03Z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CD14128851FF4C64A5534974F19A36DC</vt:lpwstr>
  </property>
  <property fmtid="{D5CDD505-2E9C-101B-9397-08002B2CF9AE}" pid="4" name="KSOTemplateDocerSaveRecord">
    <vt:lpwstr>eyJoZGlkIjoiNzJlNTE0NmVhNzgwOTU3ZjViYmFjNmNhMDU2NjZhZjUiLCJ1c2VySWQiOiI1OTE0OTIzOTUifQ==</vt:lpwstr>
  </property>
</Properties>
</file>