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0CAB6">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知识产权</w:t>
      </w:r>
      <w:r>
        <w:rPr>
          <w:rFonts w:hint="eastAsia" w:ascii="仿宋_GB2312" w:hAnsi="黑体" w:eastAsia="仿宋_GB2312" w:cs="方正小标宋简体"/>
          <w:b/>
          <w:sz w:val="32"/>
          <w:szCs w:val="32"/>
        </w:rPr>
        <w:t>项目支出绩效评价报告</w:t>
      </w:r>
    </w:p>
    <w:p w14:paraId="4EC61C6D">
      <w:pPr>
        <w:spacing w:line="580" w:lineRule="exact"/>
        <w:ind w:firstLine="640" w:firstLineChars="200"/>
        <w:rPr>
          <w:rFonts w:ascii="仿宋_GB2312" w:hAnsi="仿宋_GB2312" w:eastAsia="仿宋_GB2312" w:cs="仿宋_GB2312"/>
          <w:sz w:val="32"/>
          <w:szCs w:val="32"/>
        </w:rPr>
      </w:pPr>
    </w:p>
    <w:p w14:paraId="32F24C2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44F62BCD">
      <w:pPr>
        <w:spacing w:line="580" w:lineRule="exact"/>
        <w:ind w:firstLine="640" w:firstLineChars="200"/>
        <w:rPr>
          <w:rFonts w:hint="eastAsia" w:ascii="Tahoma" w:hAnsi="Tahoma" w:eastAsia="仿宋" w:cs="Times New Roman"/>
          <w:snapToGrid w:val="0"/>
          <w:color w:val="000000"/>
          <w:kern w:val="2"/>
          <w:sz w:val="32"/>
          <w:szCs w:val="18"/>
          <w:lang w:val="en-US" w:eastAsia="zh-CN" w:bidi="ar-SA"/>
        </w:rPr>
      </w:pPr>
      <w:r>
        <w:rPr>
          <w:rFonts w:hint="eastAsia" w:ascii="Tahoma" w:hAnsi="Tahoma" w:eastAsia="仿宋" w:cs="Times New Roman"/>
          <w:snapToGrid w:val="0"/>
          <w:color w:val="000000"/>
          <w:kern w:val="2"/>
          <w:sz w:val="32"/>
          <w:szCs w:val="18"/>
          <w:lang w:val="zh-CN" w:eastAsia="zh-CN" w:bidi="ar-SA"/>
        </w:rPr>
        <w:t>为规范公司知识产权管理工作，维护核心技术、品牌标识及创新成果合法权益，上级下达</w:t>
      </w:r>
      <w:r>
        <w:rPr>
          <w:rFonts w:hint="eastAsia" w:ascii="Tahoma" w:hAnsi="Tahoma" w:eastAsia="仿宋" w:cs="Times New Roman"/>
          <w:snapToGrid w:val="0"/>
          <w:color w:val="000000"/>
          <w:kern w:val="2"/>
          <w:sz w:val="32"/>
          <w:szCs w:val="18"/>
          <w:lang w:val="en-US" w:eastAsia="zh-CN" w:bidi="ar-SA"/>
        </w:rPr>
        <w:t>知识产权专款完成羊茸哈德制度体系建设、体系认证与合规提升。</w:t>
      </w:r>
      <w:r>
        <w:rPr>
          <w:rFonts w:hint="eastAsia" w:ascii="Tahoma" w:hAnsi="Tahoma" w:eastAsia="仿宋" w:cs="Times New Roman"/>
          <w:snapToGrid w:val="0"/>
          <w:color w:val="000000"/>
          <w:kern w:val="2"/>
          <w:sz w:val="32"/>
          <w:szCs w:val="18"/>
          <w:lang w:val="zh-CN" w:eastAsia="zh-CN" w:bidi="ar-SA"/>
        </w:rPr>
        <w:t>知识产权贯标工作有效提升了企业知识产权管理水平，为创新发展提供了制度保障，推动知识产权与业务深度融合，助力企业高质量发展。</w:t>
      </w:r>
    </w:p>
    <w:p w14:paraId="181BBFD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78C463B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58F0EF5E">
      <w:pPr>
        <w:spacing w:line="580" w:lineRule="exact"/>
        <w:ind w:firstLine="640" w:firstLineChars="200"/>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知识产权自评得分97分。</w:t>
      </w:r>
    </w:p>
    <w:p w14:paraId="39F572C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67DE554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4E85880B">
      <w:pPr>
        <w:spacing w:line="580" w:lineRule="exact"/>
        <w:ind w:firstLine="640" w:firstLineChars="200"/>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w:t>
      </w:r>
      <w:bookmarkStart w:id="0" w:name="_GoBack"/>
      <w:bookmarkEnd w:id="0"/>
      <w:r>
        <w:rPr>
          <w:rFonts w:hint="eastAsia" w:ascii="Times New Roman" w:hAnsi="Times New Roman" w:eastAsia="仿宋_GB2312" w:cs="Times New Roman"/>
          <w:color w:val="auto"/>
          <w:sz w:val="32"/>
          <w:szCs w:val="32"/>
          <w:lang w:val="en-US" w:eastAsia="zh-CN"/>
        </w:rPr>
        <w:t>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502EE14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4F2C402B">
      <w:pPr>
        <w:spacing w:line="580" w:lineRule="exact"/>
        <w:ind w:firstLine="640" w:firstLineChars="200"/>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3B5D095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49DB0CDC">
      <w:pPr>
        <w:numPr>
          <w:ilvl w:val="0"/>
          <w:numId w:val="0"/>
        </w:numPr>
        <w:ind w:firstLine="640" w:firstLineChars="200"/>
        <w:rPr>
          <w:rFonts w:hint="eastAsia" w:ascii="Tahoma" w:hAnsi="Tahoma" w:eastAsia="仿宋" w:cs="Times New Roman"/>
          <w:snapToGrid w:val="0"/>
          <w:color w:val="000000"/>
          <w:kern w:val="2"/>
          <w:sz w:val="32"/>
          <w:szCs w:val="18"/>
          <w:lang w:val="zh-CN" w:eastAsia="zh-CN" w:bidi="ar-SA"/>
        </w:rPr>
      </w:pPr>
      <w:r>
        <w:rPr>
          <w:rFonts w:hint="eastAsia" w:ascii="Tahoma" w:hAnsi="Tahoma" w:eastAsia="仿宋" w:cs="Times New Roman"/>
          <w:snapToGrid w:val="0"/>
          <w:color w:val="000000"/>
          <w:kern w:val="2"/>
          <w:sz w:val="32"/>
          <w:szCs w:val="18"/>
          <w:lang w:val="en-US" w:eastAsia="zh-CN" w:bidi="ar-SA"/>
        </w:rPr>
        <w:t>1、</w:t>
      </w:r>
      <w:r>
        <w:rPr>
          <w:rFonts w:hint="eastAsia" w:ascii="Tahoma" w:hAnsi="Tahoma" w:eastAsia="仿宋" w:cs="Times New Roman"/>
          <w:snapToGrid w:val="0"/>
          <w:color w:val="000000"/>
          <w:kern w:val="2"/>
          <w:sz w:val="32"/>
          <w:szCs w:val="18"/>
          <w:lang w:val="zh-CN" w:eastAsia="zh-CN" w:bidi="ar-SA"/>
        </w:rPr>
        <w:t>为保护公司产品技术方案、创新设计，委托专业机构办理发明专利、实用新型专利、外观设计专利的申请、审查、答复等事宜，产生专利申请费、代理费。</w:t>
      </w:r>
    </w:p>
    <w:p w14:paraId="65E77E9E">
      <w:pPr>
        <w:rPr>
          <w:rFonts w:hint="eastAsia" w:ascii="Tahoma" w:hAnsi="Tahoma" w:eastAsia="仿宋" w:cs="Times New Roman"/>
          <w:snapToGrid w:val="0"/>
          <w:color w:val="000000"/>
          <w:kern w:val="2"/>
          <w:sz w:val="32"/>
          <w:szCs w:val="18"/>
          <w:lang w:val="zh-CN" w:eastAsia="zh-CN" w:bidi="ar-SA"/>
        </w:rPr>
      </w:pPr>
      <w:r>
        <w:rPr>
          <w:rFonts w:hint="eastAsia" w:ascii="Tahoma" w:hAnsi="Tahoma" w:eastAsia="仿宋" w:cs="Times New Roman"/>
          <w:snapToGrid w:val="0"/>
          <w:color w:val="000000"/>
          <w:kern w:val="2"/>
          <w:sz w:val="32"/>
          <w:szCs w:val="18"/>
          <w:lang w:val="en-US" w:eastAsia="zh-CN" w:bidi="ar-SA"/>
        </w:rPr>
        <w:t>2</w:t>
      </w:r>
      <w:r>
        <w:rPr>
          <w:rFonts w:hint="eastAsia" w:ascii="Tahoma" w:hAnsi="Tahoma" w:eastAsia="仿宋" w:cs="Times New Roman"/>
          <w:snapToGrid w:val="0"/>
          <w:color w:val="000000"/>
          <w:kern w:val="2"/>
          <w:sz w:val="32"/>
          <w:szCs w:val="18"/>
          <w:lang w:val="zh-CN" w:eastAsia="zh-CN" w:bidi="ar-SA"/>
        </w:rPr>
        <w:t>. 为保障公司品牌、LOG等标识专用权，办理商标</w:t>
      </w:r>
      <w:r>
        <w:rPr>
          <w:rFonts w:hint="eastAsia" w:ascii="Tahoma" w:hAnsi="Tahoma" w:eastAsia="仿宋" w:cs="Times New Roman"/>
          <w:snapToGrid w:val="0"/>
          <w:color w:val="000000"/>
          <w:kern w:val="2"/>
          <w:sz w:val="32"/>
          <w:szCs w:val="18"/>
          <w:lang w:val="en-US" w:eastAsia="zh-CN" w:bidi="ar-SA"/>
        </w:rPr>
        <w:t>增项</w:t>
      </w:r>
      <w:r>
        <w:rPr>
          <w:rFonts w:hint="eastAsia" w:ascii="Tahoma" w:hAnsi="Tahoma" w:eastAsia="仿宋" w:cs="Times New Roman"/>
          <w:snapToGrid w:val="0"/>
          <w:color w:val="000000"/>
          <w:kern w:val="2"/>
          <w:sz w:val="32"/>
          <w:szCs w:val="18"/>
          <w:lang w:val="zh-CN" w:eastAsia="zh-CN" w:bidi="ar-SA"/>
        </w:rPr>
        <w:t>、续展、变更、异议答辩等业务，产生商标相关费用。</w:t>
      </w:r>
    </w:p>
    <w:p w14:paraId="12A48FEC">
      <w:pPr>
        <w:rPr>
          <w:rFonts w:hint="eastAsia" w:ascii="Tahoma" w:hAnsi="Tahoma" w:eastAsia="仿宋" w:cs="Times New Roman"/>
          <w:snapToGrid w:val="0"/>
          <w:color w:val="000000"/>
          <w:kern w:val="2"/>
          <w:sz w:val="32"/>
          <w:szCs w:val="18"/>
          <w:lang w:val="zh-CN" w:eastAsia="zh-CN" w:bidi="ar-SA"/>
        </w:rPr>
      </w:pPr>
      <w:r>
        <w:rPr>
          <w:rFonts w:hint="eastAsia" w:ascii="Tahoma" w:hAnsi="Tahoma" w:eastAsia="仿宋" w:cs="Times New Roman"/>
          <w:snapToGrid w:val="0"/>
          <w:color w:val="000000"/>
          <w:kern w:val="2"/>
          <w:sz w:val="32"/>
          <w:szCs w:val="18"/>
          <w:lang w:val="en-US" w:eastAsia="zh-CN" w:bidi="ar-SA"/>
        </w:rPr>
        <w:t>3</w:t>
      </w:r>
      <w:r>
        <w:rPr>
          <w:rFonts w:hint="eastAsia" w:ascii="Tahoma" w:hAnsi="Tahoma" w:eastAsia="仿宋" w:cs="Times New Roman"/>
          <w:snapToGrid w:val="0"/>
          <w:color w:val="000000"/>
          <w:kern w:val="2"/>
          <w:sz w:val="32"/>
          <w:szCs w:val="18"/>
          <w:lang w:val="zh-CN" w:eastAsia="zh-CN" w:bidi="ar-SA"/>
        </w:rPr>
        <w:t>. 对公司软件著作权、图文作品、设计文档等进行版权登记，产生版权登记及代理费用。</w:t>
      </w:r>
    </w:p>
    <w:p w14:paraId="6AFDE7AA">
      <w:pPr>
        <w:rPr>
          <w:rFonts w:hint="eastAsia" w:ascii="Tahoma" w:hAnsi="Tahoma" w:eastAsia="仿宋" w:cs="Times New Roman"/>
          <w:snapToGrid w:val="0"/>
          <w:color w:val="000000"/>
          <w:kern w:val="2"/>
          <w:sz w:val="32"/>
          <w:szCs w:val="18"/>
          <w:lang w:val="zh-CN" w:eastAsia="zh-CN" w:bidi="ar-SA"/>
        </w:rPr>
      </w:pPr>
      <w:r>
        <w:rPr>
          <w:rFonts w:hint="eastAsia" w:ascii="Tahoma" w:hAnsi="Tahoma" w:eastAsia="仿宋" w:cs="Times New Roman"/>
          <w:snapToGrid w:val="0"/>
          <w:color w:val="000000"/>
          <w:kern w:val="2"/>
          <w:sz w:val="32"/>
          <w:szCs w:val="18"/>
          <w:lang w:val="en-US" w:eastAsia="zh-CN" w:bidi="ar-SA"/>
        </w:rPr>
        <w:t>4</w:t>
      </w:r>
      <w:r>
        <w:rPr>
          <w:rFonts w:hint="eastAsia" w:ascii="Tahoma" w:hAnsi="Tahoma" w:eastAsia="仿宋" w:cs="Times New Roman"/>
          <w:snapToGrid w:val="0"/>
          <w:color w:val="000000"/>
          <w:kern w:val="2"/>
          <w:sz w:val="32"/>
          <w:szCs w:val="18"/>
          <w:lang w:val="zh-CN" w:eastAsia="zh-CN" w:bidi="ar-SA"/>
        </w:rPr>
        <w:t>. 按期缴纳已获授权专利、注册商标的年度维护费用，确保知识产权持续有效。</w:t>
      </w:r>
    </w:p>
    <w:p w14:paraId="24A96B08">
      <w:pPr>
        <w:rPr>
          <w:rFonts w:hint="default" w:ascii="Tahoma" w:hAnsi="Tahoma" w:eastAsia="仿宋" w:cs="Times New Roman"/>
          <w:snapToGrid w:val="0"/>
          <w:color w:val="000000"/>
          <w:kern w:val="2"/>
          <w:sz w:val="32"/>
          <w:szCs w:val="18"/>
          <w:lang w:val="zh-CN" w:eastAsia="zh-CN" w:bidi="ar-SA"/>
        </w:rPr>
      </w:pPr>
      <w:r>
        <w:rPr>
          <w:rFonts w:hint="eastAsia" w:ascii="Tahoma" w:hAnsi="Tahoma" w:eastAsia="仿宋" w:cs="Times New Roman"/>
          <w:snapToGrid w:val="0"/>
          <w:color w:val="000000"/>
          <w:kern w:val="2"/>
          <w:sz w:val="32"/>
          <w:szCs w:val="18"/>
          <w:lang w:val="en-US" w:eastAsia="zh-CN" w:bidi="ar-SA"/>
        </w:rPr>
        <w:t>5</w:t>
      </w:r>
      <w:r>
        <w:rPr>
          <w:rFonts w:hint="eastAsia" w:ascii="Tahoma" w:hAnsi="Tahoma" w:eastAsia="仿宋" w:cs="Times New Roman"/>
          <w:snapToGrid w:val="0"/>
          <w:color w:val="000000"/>
          <w:kern w:val="2"/>
          <w:sz w:val="32"/>
          <w:szCs w:val="18"/>
          <w:lang w:val="zh-CN" w:eastAsia="zh-CN" w:bidi="ar-SA"/>
        </w:rPr>
        <w:t>. 其他与知识产权检索、法律咨询、权属维护相关的服务费用。</w:t>
      </w:r>
    </w:p>
    <w:p w14:paraId="0FEECAF2">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10462B3F">
      <w:pPr>
        <w:pStyle w:val="7"/>
        <w:numPr>
          <w:ilvl w:val="0"/>
          <w:numId w:val="0"/>
        </w:numPr>
        <w:ind w:leftChars="0" w:firstLine="1920" w:firstLineChars="600"/>
        <w:rPr>
          <w:rFonts w:hint="eastAsia" w:eastAsia="宋体"/>
          <w:lang w:val="en-US" w:eastAsia="zh-CN"/>
        </w:rPr>
      </w:pPr>
      <w:r>
        <w:rPr>
          <w:rFonts w:hint="eastAsia" w:ascii="Tahoma" w:hAnsi="Tahoma" w:eastAsia="仿宋" w:cs="Times New Roman"/>
          <w:snapToGrid w:val="0"/>
          <w:color w:val="000000"/>
          <w:kern w:val="2"/>
          <w:sz w:val="32"/>
          <w:szCs w:val="18"/>
          <w:lang w:val="en-US" w:eastAsia="zh-CN" w:bidi="ar-SA"/>
        </w:rPr>
        <w:t>无</w:t>
      </w:r>
    </w:p>
    <w:p w14:paraId="5882248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3096EEDD">
      <w:pPr>
        <w:pStyle w:val="7"/>
        <w:numPr>
          <w:ilvl w:val="0"/>
          <w:numId w:val="0"/>
        </w:numPr>
        <w:ind w:leftChars="0" w:firstLine="1920" w:firstLineChars="600"/>
        <w:rPr>
          <w:rFonts w:hint="eastAsia" w:eastAsia="宋体"/>
          <w:lang w:val="en-US" w:eastAsia="zh-CN"/>
        </w:rPr>
      </w:pPr>
      <w:r>
        <w:rPr>
          <w:rFonts w:hint="eastAsia" w:ascii="Tahoma" w:hAnsi="Tahoma" w:eastAsia="仿宋" w:cs="Times New Roman"/>
          <w:snapToGrid w:val="0"/>
          <w:color w:val="000000"/>
          <w:kern w:val="2"/>
          <w:sz w:val="32"/>
          <w:szCs w:val="18"/>
          <w:lang w:val="en-US" w:eastAsia="zh-CN" w:bidi="ar-SA"/>
        </w:rPr>
        <w:t>无</w:t>
      </w:r>
    </w:p>
    <w:p w14:paraId="6A54A7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08C1BA"/>
    <w:multiLevelType w:val="singleLevel"/>
    <w:tmpl w:val="D908C1B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ADE3273"/>
    <w:rsid w:val="100566B3"/>
    <w:rsid w:val="1B4A3EC4"/>
    <w:rsid w:val="1F887BDD"/>
    <w:rsid w:val="2439349C"/>
    <w:rsid w:val="244E01D1"/>
    <w:rsid w:val="33DA011B"/>
    <w:rsid w:val="358B1B11"/>
    <w:rsid w:val="423607D0"/>
    <w:rsid w:val="4A0B0DD8"/>
    <w:rsid w:val="5304379F"/>
    <w:rsid w:val="55704B34"/>
    <w:rsid w:val="57B166CC"/>
    <w:rsid w:val="5A504131"/>
    <w:rsid w:val="5DBC40E7"/>
    <w:rsid w:val="70B27706"/>
    <w:rsid w:val="77991202"/>
    <w:rsid w:val="7BAF2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章标题"/>
    <w:basedOn w:val="1"/>
    <w:next w:val="3"/>
    <w:qFormat/>
    <w:uiPriority w:val="0"/>
    <w:pPr>
      <w:spacing w:beforeAutospacing="0" w:afterAutospacing="0" w:line="560" w:lineRule="exact"/>
      <w:ind w:right="-119"/>
      <w:jc w:val="left"/>
      <w:textAlignment w:val="baseline"/>
    </w:pPr>
    <w:rPr>
      <w:rFonts w:ascii="Tahoma" w:hAnsi="Tahoma" w:eastAsia="仿宋"/>
      <w:snapToGrid w:val="0"/>
      <w:color w:val="000000"/>
      <w:sz w:val="32"/>
      <w:szCs w:val="18"/>
    </w:rPr>
  </w:style>
  <w:style w:type="paragraph" w:customStyle="1" w:styleId="3">
    <w:name w:val="节标题"/>
    <w:basedOn w:val="1"/>
    <w:next w:val="1"/>
    <w:qFormat/>
    <w:uiPriority w:val="0"/>
    <w:pPr>
      <w:spacing w:line="289" w:lineRule="atLeast"/>
      <w:jc w:val="center"/>
      <w:textAlignment w:val="baseline"/>
    </w:pPr>
    <w:rPr>
      <w:rFonts w:ascii="Times New Roman" w:hAnsi="Times New Roman"/>
      <w:color w:val="000000"/>
      <w:sz w:val="28"/>
      <w:szCs w:val="28"/>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able of figures"/>
    <w:basedOn w:val="1"/>
    <w:next w:val="1"/>
    <w:qFormat/>
    <w:uiPriority w:val="0"/>
    <w:pPr>
      <w:ind w:left="200" w:leftChars="200" w:hanging="200" w:hangingChars="200"/>
    </w:pPr>
  </w:style>
  <w:style w:type="character" w:customStyle="1" w:styleId="10">
    <w:name w:val="页眉 Char"/>
    <w:basedOn w:val="9"/>
    <w:link w:val="6"/>
    <w:semiHidden/>
    <w:uiPriority w:val="99"/>
    <w:rPr>
      <w:sz w:val="18"/>
      <w:szCs w:val="18"/>
    </w:rPr>
  </w:style>
  <w:style w:type="character" w:customStyle="1" w:styleId="11">
    <w:name w:val="页脚 Char"/>
    <w:basedOn w:val="9"/>
    <w:link w:val="5"/>
    <w:semiHidden/>
    <w:qFormat/>
    <w:uiPriority w:val="99"/>
    <w:rPr>
      <w:sz w:val="18"/>
      <w:szCs w:val="18"/>
    </w:rPr>
  </w:style>
  <w:style w:type="character" w:customStyle="1" w:styleId="12">
    <w:name w:val="标题 1 Char"/>
    <w:basedOn w:val="9"/>
    <w:link w:val="4"/>
    <w:qFormat/>
    <w:uiPriority w:val="9"/>
    <w:rPr>
      <w:rFonts w:ascii="Times New Roman" w:hAnsi="Times New Roman" w:eastAsia="宋体" w:cs="Times New Roman"/>
      <w:b/>
      <w:bCs/>
      <w:kern w:val="44"/>
      <w:sz w:val="44"/>
      <w:szCs w:val="44"/>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845</Words>
  <Characters>855</Characters>
  <Lines>2</Lines>
  <Paragraphs>1</Paragraphs>
  <TotalTime>0</TotalTime>
  <ScaleCrop>false</ScaleCrop>
  <LinksUpToDate>false</LinksUpToDate>
  <CharactersWithSpaces>859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2026-08-26T02:37:03Z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