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BD0EF6">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食品监管</w:t>
      </w:r>
      <w:r>
        <w:rPr>
          <w:rFonts w:hint="eastAsia" w:ascii="仿宋_GB2312" w:hAnsi="黑体" w:eastAsia="仿宋_GB2312" w:cs="方正小标宋简体"/>
          <w:b/>
          <w:sz w:val="32"/>
          <w:szCs w:val="32"/>
        </w:rPr>
        <w:t>项目支出绩效评价报告</w:t>
      </w:r>
    </w:p>
    <w:p w14:paraId="501A59A2">
      <w:pPr>
        <w:spacing w:line="580" w:lineRule="exact"/>
        <w:ind w:firstLine="640" w:firstLineChars="200"/>
        <w:rPr>
          <w:rFonts w:ascii="仿宋_GB2312" w:hAnsi="仿宋_GB2312" w:eastAsia="仿宋_GB2312" w:cs="仿宋_GB2312"/>
          <w:sz w:val="32"/>
          <w:szCs w:val="32"/>
        </w:rPr>
      </w:pPr>
    </w:p>
    <w:p w14:paraId="6A94E0F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55776659">
      <w:pPr>
        <w:keepNext w:val="0"/>
        <w:keepLines w:val="0"/>
        <w:pageBreakBefore w:val="0"/>
        <w:widowControl/>
        <w:suppressLineNumbers w:val="0"/>
        <w:kinsoku/>
        <w:wordWrap/>
        <w:overflowPunct/>
        <w:topLinePunct w:val="0"/>
        <w:autoSpaceDE/>
        <w:autoSpaceDN/>
        <w:bidi w:val="0"/>
        <w:adjustRightInd/>
        <w:snapToGrid/>
        <w:spacing w:line="63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ascii="仿宋_GB2312" w:hAnsi="仿宋_GB2312" w:eastAsia="仿宋_GB2312" w:cs="仿宋_GB2312"/>
          <w:sz w:val="32"/>
          <w:szCs w:val="32"/>
          <w:lang w:val="en-US" w:eastAsia="zh-CN"/>
        </w:rPr>
        <w:t>深入落实习近平总书记关于食品安全的重要指示批示精神，严格按照党中央、国务院决策部署及《中共中央办公厅 国务院办公厅关于进一步强化食品安全全链条监管的意见》要求，以“四个最严”为根本遵循，聚焦全链条监管、专项整治、智慧赋能、社会共治四大重点，扎实推进各项工作，</w:t>
      </w:r>
      <w:r>
        <w:rPr>
          <w:rFonts w:hint="default" w:ascii="仿宋_GB2312" w:hAnsi="仿宋_GB2312" w:eastAsia="仿宋_GB2312" w:cs="仿宋_GB2312"/>
          <w:b w:val="0"/>
          <w:bCs w:val="0"/>
          <w:snapToGrid w:val="0"/>
          <w:color w:val="auto"/>
          <w:kern w:val="2"/>
          <w:sz w:val="32"/>
          <w:szCs w:val="32"/>
          <w:u w:val="none" w:color="auto"/>
          <w:lang w:val="en-US" w:eastAsia="zh-CN" w:bidi="ar-SA"/>
        </w:rPr>
        <w:t>牢牢守住食品安全底线，切实保障人民群众“舌尖上的安全”。</w:t>
      </w:r>
      <w:r>
        <w:rPr>
          <w:rFonts w:hint="eastAsia" w:ascii="仿宋_GB2312" w:hAnsi="仿宋_GB2312" w:eastAsia="仿宋_GB2312" w:cs="仿宋_GB2312"/>
          <w:color w:val="000000"/>
          <w:sz w:val="32"/>
          <w:szCs w:val="32"/>
          <w:lang w:val="en-US" w:eastAsia="zh-CN"/>
        </w:rPr>
        <w:t>通过线上线下多元发力，线上依托“微黑水”“黑水市场监管”微信公众号及各业务监管群，动态推送消费预警、安全提示等内容，打造“指尖宣传阵地”</w:t>
      </w:r>
      <w:r>
        <w:rPr>
          <w:rFonts w:hint="eastAsia" w:ascii="仿宋_GB2312" w:hAnsi="仿宋_GB2312" w:cs="仿宋_GB2312"/>
          <w:color w:val="000000"/>
          <w:sz w:val="32"/>
          <w:szCs w:val="32"/>
          <w:lang w:val="en-US" w:eastAsia="zh-CN"/>
        </w:rPr>
        <w:t>。</w:t>
      </w:r>
    </w:p>
    <w:p w14:paraId="05D2A2B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5B9253F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14FE906A">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食品监管预算项目绩效自评得分88分。</w:t>
      </w:r>
    </w:p>
    <w:p w14:paraId="6589B39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00E8DBF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0576DBEB">
      <w:pPr>
        <w:spacing w:line="58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项目是按中央、省委</w:t>
      </w:r>
      <w:bookmarkStart w:id="0" w:name="_GoBack"/>
      <w:bookmarkEnd w:id="0"/>
      <w:r>
        <w:rPr>
          <w:rFonts w:hint="eastAsia" w:eastAsia="仿宋_GB2312" w:cs="Times New Roman"/>
          <w:color w:val="auto"/>
          <w:sz w:val="32"/>
          <w:szCs w:val="32"/>
          <w:lang w:val="en-US" w:eastAsia="zh-CN"/>
        </w:rPr>
        <w:t>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6A835C1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57D50526">
      <w:pPr>
        <w:spacing w:line="58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1.6</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val="en-US" w:eastAsia="zh-CN"/>
        </w:rPr>
        <w:t>万元，结余资金1.6万元上缴财政。</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62667AA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36E03F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ascii="仿宋_GB2312" w:hAnsi="仿宋_GB2312" w:eastAsia="仿宋_GB2312" w:cs="仿宋_GB2312"/>
          <w:b w:val="0"/>
          <w:bCs w:val="0"/>
          <w:color w:val="000000"/>
          <w:sz w:val="32"/>
          <w:szCs w:val="32"/>
          <w:lang w:val="en-US" w:eastAsia="zh-CN"/>
        </w:rPr>
        <w:t>深入贯彻落实上级关于市场监管工作的决策部署，深入开展食品安全专项行动，从食品安全“沙盒监管”试点到“网格监管”机制建立，我们既抓日常巡查“防未然”，又抓专项整治“除隐患”，用精准监管筑牢群众安全防线。</w:t>
      </w:r>
      <w:r>
        <w:rPr>
          <w:rFonts w:hint="eastAsia" w:ascii="仿宋_GB2312" w:hAnsi="仿宋_GB2312" w:eastAsia="仿宋_GB2312" w:cs="仿宋_GB2312"/>
          <w:color w:val="000000"/>
          <w:kern w:val="0"/>
          <w:sz w:val="32"/>
          <w:szCs w:val="32"/>
          <w:lang w:val="en-US" w:eastAsia="zh-CN" w:bidi="ar"/>
        </w:rPr>
        <w:t>严格落实党政同责要求，将食品安全融入“微网实格”基层治理体系，健全完善“党委领导、政府负责、部门协同、公众参与”的工作格局。</w:t>
      </w:r>
      <w:r>
        <w:rPr>
          <w:rFonts w:hint="eastAsia" w:ascii="仿宋_GB2312" w:hAnsi="仿宋_GB2312" w:eastAsia="仿宋_GB2312" w:cs="仿宋_GB2312"/>
          <w:color w:val="000000"/>
          <w:sz w:val="32"/>
          <w:szCs w:val="32"/>
          <w:lang w:val="en-US" w:eastAsia="zh-CN"/>
        </w:rPr>
        <w:t>深入推进各项专项整治行动。检查肉制品生产经营主体36户次，立案查处4件，罚没金额0.17万元。检查食用植物油生产经营主体120家次，整改问题隐患12个。综合治理食品添加剂滥用问题，推动落实“非必要不添加”原则，查办超范围、超限量使用食品添加剂案件1件，罚没金额0.06万元。强化网络订餐、直播带货等新业态监管，检查网络食品经营主体户78家次，整改问题32个。压实平台主体责任，督促网络交易平台严格审查入网经营者资质，建立违规商家清退机制，严格禁止无堂食外卖、“幽灵外卖”入网经营。全年完成食品监督抽检203批次，其中食用农产品抽检150批次，普通食品抽检53批次，抽检合格率97%，问题发现率3%。以学校食堂、校园周边食品经营店、校园餐供货商为重点，开展全覆盖监督检查4次，立案查处违法案件11件，罚没0.23万元，约谈校园餐供货商1次，整改问题隐患35个。开展家校膳食共育指导讲座3次，强化“舌尖安全”与“营养健康”的深度融合。通过线上线下多元发力，线上依托“微黑水”“黑水市场监管”微信公众号及各业务监管群，动态推送消费预警、安全提示等内容，打造“指尖宣传阵地”；线下借助“3·15”“食品安全宣传周”等重要节点，联合多部门开展集中宣传活动，累计发放科普手册、宣传海报等资料2000余份，面对面向群众普及食品安全知识。服务旅游发展，深入民宿集群，开办“食品安全进民宿 ”讲座3场次，受众达300余人。</w:t>
      </w:r>
    </w:p>
    <w:p w14:paraId="623706D0">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22F550E0">
      <w:pPr>
        <w:pStyle w:val="2"/>
        <w:numPr>
          <w:ilvl w:val="0"/>
          <w:numId w:val="0"/>
        </w:numPr>
        <w:ind w:right="-119" w:rightChars="0" w:firstLine="1920" w:firstLineChars="600"/>
        <w:rPr>
          <w:rFonts w:hint="eastAsia" w:eastAsia="仿宋"/>
          <w:lang w:val="en-US" w:eastAsia="zh-CN"/>
        </w:rPr>
      </w:pPr>
      <w:r>
        <w:rPr>
          <w:rFonts w:hint="eastAsia"/>
          <w:lang w:val="en-US" w:eastAsia="zh-CN"/>
        </w:rPr>
        <w:t>无</w:t>
      </w:r>
    </w:p>
    <w:p w14:paraId="2D95435A">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707EF332">
      <w:pPr>
        <w:pStyle w:val="2"/>
        <w:numPr>
          <w:ilvl w:val="0"/>
          <w:numId w:val="0"/>
        </w:numPr>
        <w:ind w:right="-119" w:rightChars="0" w:firstLine="1920" w:firstLineChars="600"/>
        <w:rPr>
          <w:rFonts w:hint="eastAsia" w:cs="Times New Roman"/>
          <w:lang w:val="en-US" w:eastAsia="zh-CN"/>
        </w:rPr>
      </w:pPr>
      <w:r>
        <w:rPr>
          <w:rFonts w:hint="eastAsia" w:cs="Times New Roman"/>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E1B2E7"/>
    <w:multiLevelType w:val="singleLevel"/>
    <w:tmpl w:val="08E1B2E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0977B14"/>
    <w:rsid w:val="100566B3"/>
    <w:rsid w:val="1B4A3EC4"/>
    <w:rsid w:val="1F887BDD"/>
    <w:rsid w:val="2439349C"/>
    <w:rsid w:val="244E01D1"/>
    <w:rsid w:val="33DA011B"/>
    <w:rsid w:val="358B1B11"/>
    <w:rsid w:val="37D434D6"/>
    <w:rsid w:val="423607D0"/>
    <w:rsid w:val="4A0B0DD8"/>
    <w:rsid w:val="55704B34"/>
    <w:rsid w:val="57B166CC"/>
    <w:rsid w:val="5B505A5F"/>
    <w:rsid w:val="5DBC40E7"/>
    <w:rsid w:val="60C615B7"/>
    <w:rsid w:val="6AF361DA"/>
    <w:rsid w:val="6F69376F"/>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章标题"/>
    <w:basedOn w:val="1"/>
    <w:next w:val="3"/>
    <w:qFormat/>
    <w:uiPriority w:val="0"/>
    <w:pPr>
      <w:spacing w:beforeAutospacing="0" w:afterAutospacing="0" w:line="560" w:lineRule="exact"/>
      <w:ind w:right="-119"/>
      <w:jc w:val="left"/>
      <w:textAlignment w:val="baseline"/>
    </w:pPr>
    <w:rPr>
      <w:rFonts w:ascii="Tahoma" w:hAnsi="Tahoma" w:eastAsia="仿宋"/>
      <w:snapToGrid w:val="0"/>
      <w:color w:val="000000"/>
      <w:sz w:val="32"/>
      <w:szCs w:val="18"/>
    </w:rPr>
  </w:style>
  <w:style w:type="paragraph" w:customStyle="1" w:styleId="3">
    <w:name w:val="节标题"/>
    <w:basedOn w:val="1"/>
    <w:next w:val="1"/>
    <w:qFormat/>
    <w:uiPriority w:val="0"/>
    <w:pPr>
      <w:spacing w:line="289" w:lineRule="atLeast"/>
      <w:jc w:val="center"/>
      <w:textAlignment w:val="baseline"/>
    </w:pPr>
    <w:rPr>
      <w:rFonts w:ascii="Times New Roman" w:hAnsi="Times New Roman"/>
      <w:color w:val="000000"/>
      <w:sz w:val="28"/>
      <w:szCs w:val="28"/>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footer"/>
    <w:basedOn w:val="1"/>
    <w:link w:val="11"/>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0"/>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0">
    <w:name w:val="页眉 Char"/>
    <w:basedOn w:val="9"/>
    <w:link w:val="7"/>
    <w:semiHidden/>
    <w:uiPriority w:val="99"/>
    <w:rPr>
      <w:sz w:val="18"/>
      <w:szCs w:val="18"/>
    </w:rPr>
  </w:style>
  <w:style w:type="character" w:customStyle="1" w:styleId="11">
    <w:name w:val="页脚 Char"/>
    <w:basedOn w:val="9"/>
    <w:link w:val="6"/>
    <w:semiHidden/>
    <w:uiPriority w:val="99"/>
    <w:rPr>
      <w:sz w:val="18"/>
      <w:szCs w:val="18"/>
    </w:rPr>
  </w:style>
  <w:style w:type="character" w:customStyle="1" w:styleId="12">
    <w:name w:val="标题 1 Char"/>
    <w:basedOn w:val="9"/>
    <w:link w:val="4"/>
    <w:qFormat/>
    <w:uiPriority w:val="9"/>
    <w:rPr>
      <w:rFonts w:ascii="Times New Roman" w:hAnsi="Times New Roman" w:eastAsia="宋体" w:cs="Times New Roman"/>
      <w:b/>
      <w:bCs/>
      <w:kern w:val="44"/>
      <w:sz w:val="44"/>
      <w:szCs w:val="44"/>
    </w:rPr>
  </w:style>
  <w:style w:type="paragraph" w:customStyle="1" w:styleId="1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1470</Words>
  <Characters>1509</Characters>
  <Lines>2</Lines>
  <Paragraphs>1</Paragraphs>
  <TotalTime>1</TotalTime>
  <ScaleCrop>false</ScaleCrop>
  <LinksUpToDate>false</LinksUpToDate>
  <CharactersWithSpaces>1511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2026-08-26T02:28:14Z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