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黑水县公共就业和人才交流服务局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2018年部门整体支出绩效报告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一、单位概况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（一）机构组成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黑水县公共就业和人才交流服务局于2011年12月31日核定为参公单位，属县人社局二级参公事业单位，县级一级核算单位。2011年6月根据《关于设立黑水县劳务开发暨农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民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工工作领导小组办公室的通知》（黑编发[2011]20号）文件，黑水县劳务开发暨农民工工作领导小组办公室设在就业服务管理局，办公室主任由就业局副局长兼任，所需编制在县就业局内部调剂。2012年4月11日根据《关于黑水县人社局开展事业单位清理规范后机构设置的批复》（黑编发[2012]41号）文件，黑水县就业局及农劳办为县人社局直属副科级全额拨款的事业机构，实行两块牌子一套人马管理体制。至今以来未有变化。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（二）机构职能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我局内设办公室、失保股、就业训练和劳务开发股、职业指导股，四个股室，主要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负责全县机关企、事业单位失业保险金的收缴发放、劳务输出、技能培训，职业指导，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开展公共就业服务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等工作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（三）人员概况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根据《关于黑水县就业服务管理局增加2名参公事业编制的批复》（黑编[2014]14号），我局参公事业编制由10名变为12名，其中参公干部11人，工勤１人。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2018年末本单位从业人员12人,其中本科6人，专科5人，高中学历1人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藏族4人，汉族5人,羌族3人；一人浙江挂职。</w:t>
      </w: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仿宋"/>
          <w:sz w:val="32"/>
          <w:szCs w:val="32"/>
        </w:rPr>
        <w:t>二、部门财政资金收支情况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（一）部门财政资金收入情况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2018年收入情况：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2018年年初预算安排收入159.88万元，实际收入290.31万元，增加130.43万元，差异率81.58%。差异主要原因一是本年增加东西部扶贫协作专项资金34.30万元；二是本年州级下达品牌培训专款49万元。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hint="eastAsia"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（二）部门财政资金支出情况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2018年支出情况：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本年预算支出159.88万元，决算支出295.09万元，实际支出比预算支出增加135.21万元，差异率84.57%。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资金来源分析：其中财政拨款支出295.09万元，占本年总支出的100%，按支出性质分析：基本支出211.78万元，占本年总支出的71.77%，项目支出83.30万元，占本年总支出的28.23%；按支出经济分类：工资福利支出183.12万元，占本年支出62.06%，商品和服务支出61.08万元，占本年支出20.70%，对个人和家庭的补助50.89万元，占本年支17.24%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“三公”经费预算执行情况: 2018年预算公务接待费0.22万元,公务用车运行维护费5万元,合计5.22万元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年度决算公务接待费0.20万元,公务用车运行维护费3.54万元,合计3.74万元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三、部门整体预算绩效管理情况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本年本单位部门整体绩效目标是：贯彻落实党和政府就业方针政策，统筹协调城乡就业，开展各类就业培训和职业介绍，经办失业保险，实施就业援助等工作。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2018年整体目标完成情况较好。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按时完成预算编制并提交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预算草案。预算编制中，特别注意对预算编制准确性的把握，并严格按照要求进行预算执行调整。按时完成待批复提前细化。</w:t>
      </w:r>
    </w:p>
    <w:p>
      <w:pPr>
        <w:pStyle w:val="2"/>
        <w:adjustRightInd w:val="0"/>
        <w:snapToGrid w:val="0"/>
        <w:spacing w:before="93" w:line="600" w:lineRule="exact"/>
        <w:ind w:firstLine="675" w:firstLineChars="210"/>
        <w:outlineLvl w:val="2"/>
        <w:rPr>
          <w:rFonts w:hint="eastAsia" w:hAnsi="仿宋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2018年重点工作完成情况</w:t>
      </w:r>
    </w:p>
    <w:p>
      <w:pPr>
        <w:spacing w:line="560" w:lineRule="exact"/>
        <w:ind w:firstLine="643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1.就业工作。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_GB2312"/>
          <w:sz w:val="32"/>
          <w:szCs w:val="32"/>
        </w:rPr>
        <w:t>县城镇新增就业543人，完成目标任务530人的102.45%(其中城镇失业人员再就业32人，完成目标任务25人的128%；就业困难人员再就业10人，完成目标任务5人的200%)。目前累计开展各类职业技能培训23期，培训1080人,（其中青年劳动者技能培训466人，完成目标任务169人的276%；劳务品牌培训350人，完成目标任务350人的100%；创业培训30人，完成目标任务25人的120%)。其中：培训建档立卡贫困劳动力575人，完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目标任务480人的120%。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开发公益性岗位3743个（其中：安置贫困劳动力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2561</w:t>
      </w:r>
      <w:r>
        <w:rPr>
          <w:rFonts w:hint="eastAsia" w:ascii="仿宋" w:hAnsi="仿宋" w:eastAsia="仿宋" w:cs="仿宋_GB2312"/>
          <w:sz w:val="32"/>
          <w:szCs w:val="32"/>
        </w:rPr>
        <w:t>人），完成目标任务260人的1400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。扶持</w:t>
      </w:r>
      <w:r>
        <w:rPr>
          <w:rFonts w:hint="eastAsia" w:ascii="仿宋" w:hAnsi="仿宋" w:eastAsia="仿宋" w:cs="仿宋_GB2312"/>
          <w:color w:val="000000"/>
          <w:spacing w:val="5"/>
          <w:sz w:val="32"/>
          <w:szCs w:val="32"/>
          <w:shd w:val="clear" w:color="auto" w:fill="FFFFFF"/>
        </w:rPr>
        <w:t>高校毕业生创业8人，完成目标任务6人的133%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。发放创业担保贷款30万元，完成目标任务25万的120%。</w:t>
      </w:r>
      <w:r>
        <w:rPr>
          <w:rFonts w:hint="eastAsia" w:ascii="仿宋" w:hAnsi="仿宋" w:eastAsia="仿宋" w:cs="仿宋_GB2312"/>
          <w:sz w:val="32"/>
          <w:szCs w:val="32"/>
        </w:rPr>
        <w:t>城镇登记失业率控制在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3.7%</w:t>
      </w:r>
      <w:r>
        <w:rPr>
          <w:rFonts w:hint="eastAsia" w:ascii="仿宋" w:hAnsi="仿宋" w:eastAsia="仿宋" w:cs="仿宋_GB2312"/>
          <w:sz w:val="32"/>
          <w:szCs w:val="32"/>
        </w:rPr>
        <w:t>以内。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全县参加申报登记失业保险人数2991</w:t>
      </w:r>
      <w:r>
        <w:rPr>
          <w:rFonts w:hint="eastAsia" w:ascii="仿宋" w:hAnsi="仿宋" w:eastAsia="仿宋" w:cs="仿宋_GB2312"/>
          <w:sz w:val="32"/>
          <w:szCs w:val="32"/>
        </w:rPr>
        <w:t>人，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完成目标任务2830人的105.7%，</w:t>
      </w:r>
      <w:r>
        <w:rPr>
          <w:rFonts w:hint="eastAsia" w:ascii="仿宋" w:hAnsi="仿宋" w:eastAsia="仿宋" w:cs="仿宋_GB2312"/>
          <w:sz w:val="32"/>
          <w:szCs w:val="32"/>
        </w:rPr>
        <w:t>征收失业保险金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完成目标任务150万元的133.3%</w:t>
      </w:r>
      <w:r>
        <w:rPr>
          <w:rFonts w:hint="eastAsia" w:ascii="仿宋" w:hAnsi="仿宋" w:eastAsia="仿宋" w:cs="仿宋_GB2312"/>
          <w:sz w:val="32"/>
          <w:szCs w:val="32"/>
        </w:rPr>
        <w:t>。为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名失业人员发放失业保险金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9.61</w:t>
      </w:r>
      <w:r>
        <w:rPr>
          <w:rFonts w:hint="eastAsia" w:ascii="仿宋" w:hAnsi="仿宋" w:eastAsia="仿宋" w:cs="仿宋_GB2312"/>
          <w:sz w:val="32"/>
          <w:szCs w:val="32"/>
        </w:rPr>
        <w:t>万元，代缴医疗保险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4.56</w:t>
      </w:r>
      <w:r>
        <w:rPr>
          <w:rFonts w:hint="eastAsia" w:ascii="仿宋" w:hAnsi="仿宋" w:eastAsia="仿宋" w:cs="仿宋_GB2312"/>
          <w:sz w:val="32"/>
          <w:szCs w:val="32"/>
        </w:rPr>
        <w:t>万元。为全县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17户参保企业落实稳岗补贴13.3万元，惠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及企业职工487人，切实减轻了企业负担，维护了社会和谐稳定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2.农劳工作。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_GB2312"/>
          <w:sz w:val="32"/>
          <w:szCs w:val="32"/>
        </w:rPr>
        <w:t>县实现农村劳动力转移输出1.8万人，完成目标任务1.65万人的109.1%，劳务经济收入3.85亿元，完成目标任务3.68亿的105%(其中贫困劳动力转移就业4990人次，完成目标任务4970人的100.4%；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劳务经济收入6000万元)。</w:t>
      </w:r>
    </w:p>
    <w:p>
      <w:pPr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color w:val="000000"/>
          <w:sz w:val="32"/>
          <w:szCs w:val="32"/>
        </w:rPr>
        <w:t>3.加强对接，落实东西部劳务协作。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结合全县外出务工人员的特点和市场用工需求，充分利用“有形”和“无形”两个市场，深化与浙江嘉兴市、桐乡市、彭州市等地区劳务协作。一是做好有组织转移就业工作。</w:t>
      </w:r>
      <w:r>
        <w:rPr>
          <w:rFonts w:hint="eastAsia" w:ascii="仿宋" w:hAnsi="仿宋" w:eastAsia="仿宋" w:cs="仿宋_GB2312"/>
          <w:sz w:val="32"/>
          <w:szCs w:val="32"/>
        </w:rPr>
        <w:t>累计向浙江及浙江在川企业有组织输送劳动力249人，其中建档立卡贫困户92人，向浙江海宁市企业输送就业204人（建档立卡贫困户62人），向浙江在川企业输送就业45人（建档立卡贫困户30人）。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本年本单位预算绩效实施过程中无违法违规情况。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color w:val="C0504D" w:themeColor="accent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（二）专项预算管理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本单位专项预算项目主要用于促进就业劳务开发及招聘会，专项预算经费纳入商品和服务支出使用，预算项目规划合理，分配科学及时，结果符合工作要求。</w:t>
      </w:r>
    </w:p>
    <w:p>
      <w:pPr>
        <w:spacing w:line="58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本年本单位开展了两次招聘会，（其中一次是东西部协作专场招聘会)，春季招聘会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共计提供就业岗位8200余个。其中34家用人单位亲临现场参加招聘，提供岗位1200余个，吸引800余名求职者进场咨询求职，通过供需双方面对面、零距离的对接交流，达成求职意愿417人（其中建档立卡贫困人员16人），签订就业意向性协议115人，现场签订用工协议的9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带队参加了阿坝州第三届美食大赛，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eastAsia="zh-CN"/>
        </w:rPr>
        <w:t>了我县</w:t>
      </w:r>
      <w:r>
        <w:rPr>
          <w:rFonts w:hint="eastAsia" w:ascii="仿宋_GB2312" w:eastAsia="仿宋_GB2312"/>
          <w:sz w:val="32"/>
          <w:szCs w:val="32"/>
        </w:rPr>
        <w:t>美食从业人员的技能水平，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Cs/>
          <w:sz w:val="32"/>
          <w:szCs w:val="32"/>
        </w:rPr>
        <w:t>打造阿坝餐饮服务品牌，感受阿坝独具魅力的饮食文化,</w:t>
      </w:r>
      <w:r>
        <w:rPr>
          <w:rFonts w:hint="eastAsia" w:ascii="仿宋_GB2312" w:hAnsi="宋体" w:eastAsia="仿宋_GB2312"/>
          <w:sz w:val="32"/>
          <w:szCs w:val="32"/>
        </w:rPr>
        <w:t>促进全州</w:t>
      </w:r>
      <w:r>
        <w:rPr>
          <w:rFonts w:hint="eastAsia" w:ascii="仿宋_GB2312" w:eastAsia="仿宋_GB2312"/>
          <w:bCs/>
          <w:sz w:val="32"/>
          <w:szCs w:val="32"/>
        </w:rPr>
        <w:t>经济社会及旅游文化业发展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作出了积极贡献。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专项预算绩效实施过程中无违法违规情况。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（三）结果应用情况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" w:eastAsia="仿宋_GB2312" w:cs="仿宋_GB2312"/>
          <w:color w:val="C0504D" w:themeColor="accent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本年本单位在执行公务过程中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严格执行“厉行节约、反对浪费”的规定，严格控制“三公”经费支出，加强公务用车管理，努力降低燃修费用。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决算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在财政部门批复后及时填报预算公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开资料、决算公开资料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报表报财政审核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在政府信息公开网上公示。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   </w:t>
      </w:r>
      <w:r>
        <w:rPr>
          <w:rFonts w:hint="eastAsia" w:ascii="楷体" w:hAnsi="楷体" w:eastAsia="楷体" w:cs="仿宋"/>
          <w:b/>
          <w:color w:val="333333"/>
          <w:sz w:val="32"/>
          <w:szCs w:val="32"/>
        </w:rPr>
        <w:t>（四）整体绩效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预算支出在保障本局工作运转、履行职能职责上整体情况良好。一是2018年至今支出绩效较好，预算编制精确、合理，经费压缩情况下的高效运转;二是经费收支有力的推动各股室工作的有效开展，按时按量推动目标任务高效完成；三是经费的支出有力保障了办公设备购置等项目所需，推动了改革和各类就业政策的实行，提高了就业工作的规范化、信息化水平;四是强化机关公用经费及日常运行经费管理，对于各科室日常公用经费按照相关政策进行管理，对于办公日常运行维护费用加强审核力度，公用经费及水、电等日常运行经费均有一定下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　</w:t>
      </w:r>
      <w:r>
        <w:rPr>
          <w:rFonts w:hint="eastAsia" w:ascii="黑体" w:hAnsi="黑体" w:eastAsia="黑体" w:cs="仿宋"/>
          <w:color w:val="333333"/>
          <w:sz w:val="32"/>
          <w:szCs w:val="32"/>
        </w:rPr>
        <w:t>四、评价结论及建议 </w:t>
      </w:r>
    </w:p>
    <w:p>
      <w:pPr>
        <w:spacing w:line="560" w:lineRule="exact"/>
        <w:ind w:firstLine="645"/>
        <w:jc w:val="left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（一）评价结论</w:t>
      </w:r>
    </w:p>
    <w:p>
      <w:pPr>
        <w:spacing w:line="560" w:lineRule="exact"/>
        <w:ind w:firstLine="645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hint="eastAsia" w:ascii="宋体" w:hAnsi="宋体" w:eastAsia="仿宋_GB2312"/>
          <w:color w:val="000000"/>
          <w:sz w:val="32"/>
          <w:szCs w:val="32"/>
        </w:rPr>
        <w:t> </w:t>
      </w:r>
    </w:p>
    <w:p>
      <w:pPr>
        <w:spacing w:line="560" w:lineRule="exact"/>
        <w:ind w:firstLine="645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结合评价得分评价结果为良好。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（二）存在问题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　  </w:t>
      </w:r>
      <w:r>
        <w:rPr>
          <w:rFonts w:hint="eastAsia" w:ascii="仿宋_GB2312" w:hAnsi="仿宋" w:eastAsia="仿宋_GB2312"/>
          <w:sz w:val="32"/>
          <w:szCs w:val="32"/>
        </w:rPr>
        <w:t>上级下达的部分专项资金，暂存于我局预算内资金专户，对编制预算财务工作有一定影响。</w:t>
      </w:r>
      <w:r>
        <w:rPr>
          <w:rFonts w:hint="eastAsia" w:eastAsia="仿宋_GB2312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（三）改进建议</w:t>
      </w:r>
      <w:r>
        <w:rPr>
          <w:rFonts w:hint="eastAsia" w:eastAsia="楷体"/>
          <w:b/>
          <w:color w:val="000000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我们将进一步重视预算的编制工作，提高预算编制的精确度，提高财政资金使用效率，尽量减少预算执行调整、结转和结余注销的情形。</w:t>
      </w: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eastAsia="仿宋_GB2312"/>
          <w:sz w:val="32"/>
          <w:szCs w:val="32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2880" w:firstLineChars="9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黑水县公共就业和人才交流服务局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5030" w:leftChars="1100" w:hanging="2720" w:hanging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2019年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35C0441"/>
    <w:rsid w:val="0C010846"/>
    <w:rsid w:val="0E670B50"/>
    <w:rsid w:val="11501361"/>
    <w:rsid w:val="118E6AA3"/>
    <w:rsid w:val="152B5E95"/>
    <w:rsid w:val="162121DD"/>
    <w:rsid w:val="1A333384"/>
    <w:rsid w:val="20915586"/>
    <w:rsid w:val="2F8716CD"/>
    <w:rsid w:val="339D149A"/>
    <w:rsid w:val="3A240F67"/>
    <w:rsid w:val="3A5E4CCD"/>
    <w:rsid w:val="42316CE2"/>
    <w:rsid w:val="450D1FA4"/>
    <w:rsid w:val="4901767F"/>
    <w:rsid w:val="4B097456"/>
    <w:rsid w:val="4C692846"/>
    <w:rsid w:val="51156CB2"/>
    <w:rsid w:val="55084F4F"/>
    <w:rsid w:val="5604737C"/>
    <w:rsid w:val="5782713E"/>
    <w:rsid w:val="5887553D"/>
    <w:rsid w:val="59043E83"/>
    <w:rsid w:val="61E06456"/>
    <w:rsid w:val="689D0606"/>
    <w:rsid w:val="6AEA5A62"/>
    <w:rsid w:val="6B8635BA"/>
    <w:rsid w:val="6DCE7BEB"/>
    <w:rsid w:val="74C64AF1"/>
    <w:rsid w:val="75243B56"/>
    <w:rsid w:val="77DE08DA"/>
    <w:rsid w:val="7929008B"/>
    <w:rsid w:val="7B0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dcterms:modified xsi:type="dcterms:W3CDTF">2021-03-01T07:25:42Z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