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</w:pPr>
      <w:bookmarkStart w:id="0" w:name="_Toc15396616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黑水县公共就业和人才交流服务局</w:t>
      </w:r>
    </w:p>
    <w:p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201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9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年部门整体支出绩效评价报告</w:t>
      </w:r>
      <w:bookmarkEnd w:id="0"/>
    </w:p>
    <w:p>
      <w:pPr>
        <w:spacing w:line="580" w:lineRule="exact"/>
        <w:ind w:firstLine="643" w:firstLineChars="200"/>
        <w:rPr>
          <w:rFonts w:ascii="仿宋_GB2312" w:hAnsi="黑体" w:eastAsia="仿宋_GB2312" w:cs="黑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一、单位概况</w:t>
      </w:r>
    </w:p>
    <w:p>
      <w:pPr>
        <w:snapToGrid w:val="0"/>
        <w:spacing w:line="560" w:lineRule="exact"/>
        <w:ind w:firstLine="643" w:firstLineChars="200"/>
        <w:rPr>
          <w:rFonts w:hint="eastAsia"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（一）机构组成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黑水县公共就业和人才交流服务局于2011年12月31日核定为参公单位，属县人社局二级参公事业单位，县级一级核算单位。2011年6月根据《关于设立黑水县劳务开发暨农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民</w:t>
      </w:r>
      <w:bookmarkStart w:id="1" w:name="_GoBack"/>
      <w:bookmarkEnd w:id="1"/>
      <w:r>
        <w:rPr>
          <w:rFonts w:hint="eastAsia" w:ascii="仿宋_GB2312" w:hAnsi="仿宋" w:eastAsia="仿宋_GB2312" w:cs="仿宋"/>
          <w:sz w:val="32"/>
          <w:szCs w:val="32"/>
        </w:rPr>
        <w:t>工工作领导小组办公室的通知》（黑编发[2011]20号）文件，黑水县劳务开发暨农民工工作领导小组办公室设在就业服务管理局，办公室主任由就业局副局长兼任，所需编制在县就业局内部调剂。2012年4月11日根据《关于黑水县人社局开展事业单位清理规范后机构设置的批复》（黑编发[2012]41号）文件，黑水县就业局及农劳办为县人社局直属副科级全额拨款的事业机构，实行两块牌子一套人马管理体制。至今以来未有变化。</w:t>
      </w:r>
    </w:p>
    <w:p>
      <w:pPr>
        <w:snapToGrid w:val="0"/>
        <w:spacing w:line="560" w:lineRule="exact"/>
        <w:ind w:firstLine="643" w:firstLineChars="200"/>
        <w:rPr>
          <w:rFonts w:hint="eastAsia" w:ascii="楷体" w:hAnsi="楷体" w:eastAsia="楷体" w:cs="仿宋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（二）机构职能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我局内设办公室、失保股、就业训练和劳务开发股、职业指导股，四个股室，主要</w:t>
      </w:r>
      <w:r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  <w:t>负责全县机关企、事业单位失业保险金的收缴发放、劳务输出、技能培训，职业指导，</w:t>
      </w:r>
      <w:r>
        <w:rPr>
          <w:rFonts w:hint="eastAsia" w:ascii="仿宋_GB2312" w:hAnsi="仿宋" w:eastAsia="仿宋_GB2312" w:cs="仿宋"/>
          <w:color w:val="333333"/>
          <w:sz w:val="32"/>
          <w:szCs w:val="32"/>
        </w:rPr>
        <w:t>开展公共就业服务</w:t>
      </w:r>
      <w:r>
        <w:rPr>
          <w:rFonts w:hint="eastAsia" w:ascii="仿宋_GB2312" w:hAnsi="仿宋" w:eastAsia="仿宋_GB2312" w:cs="仿宋"/>
          <w:color w:val="000000"/>
          <w:sz w:val="32"/>
          <w:szCs w:val="32"/>
          <w:shd w:val="clear" w:color="auto" w:fill="FFFFFF"/>
        </w:rPr>
        <w:t>等工作</w:t>
      </w:r>
      <w:r>
        <w:rPr>
          <w:rFonts w:hint="eastAsia" w:ascii="仿宋_GB2312" w:hAnsi="仿宋" w:eastAsia="仿宋_GB2312" w:cs="仿宋"/>
          <w:sz w:val="32"/>
          <w:szCs w:val="32"/>
        </w:rPr>
        <w:t>。</w:t>
      </w:r>
    </w:p>
    <w:p>
      <w:pPr>
        <w:snapToGrid w:val="0"/>
        <w:spacing w:line="560" w:lineRule="exact"/>
        <w:ind w:firstLine="643" w:firstLineChars="200"/>
        <w:rPr>
          <w:rFonts w:hint="eastAsia" w:ascii="楷体" w:hAnsi="楷体" w:eastAsia="楷体" w:cs="仿宋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（三）人员概况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根据《关于黑水县就业服务管理局增加2名参公事业编制的批复》（黑编[2014]14号），我局参公事业编制由10名变为12名，其中参公干部11人，工勤１人。</w:t>
      </w:r>
    </w:p>
    <w:p>
      <w:pPr>
        <w:snapToGrid w:val="0"/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2018年末本单位从业人员1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</w:rPr>
        <w:t>人,其中本科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sz w:val="32"/>
          <w:szCs w:val="32"/>
        </w:rPr>
        <w:t>人，专科5人，高中学历1人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；</w:t>
      </w:r>
      <w:r>
        <w:rPr>
          <w:rFonts w:hint="eastAsia" w:ascii="仿宋_GB2312" w:hAnsi="仿宋" w:eastAsia="仿宋_GB2312" w:cs="仿宋"/>
          <w:sz w:val="32"/>
          <w:szCs w:val="32"/>
        </w:rPr>
        <w:t>藏族4人，汉族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"/>
          <w:sz w:val="32"/>
          <w:szCs w:val="32"/>
        </w:rPr>
        <w:t>人,羌族3人。</w:t>
      </w: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二、部门财政资金收支情况</w:t>
      </w:r>
    </w:p>
    <w:p>
      <w:pPr>
        <w:spacing w:line="58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（一）部门财政资金收入情况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201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 w:cs="仿宋"/>
          <w:sz w:val="32"/>
          <w:szCs w:val="32"/>
        </w:rPr>
        <w:t>年收入情况：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201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 w:cs="仿宋"/>
          <w:sz w:val="32"/>
          <w:szCs w:val="32"/>
        </w:rPr>
        <w:t>年年初预算安排收入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204.03</w:t>
      </w:r>
      <w:r>
        <w:rPr>
          <w:rFonts w:hint="eastAsia" w:ascii="仿宋_GB2312" w:hAnsi="仿宋" w:eastAsia="仿宋_GB2312" w:cs="仿宋"/>
          <w:sz w:val="32"/>
          <w:szCs w:val="32"/>
        </w:rPr>
        <w:t>万元，实际收入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341.89</w:t>
      </w:r>
      <w:r>
        <w:rPr>
          <w:rFonts w:hint="eastAsia" w:ascii="仿宋_GB2312" w:hAnsi="仿宋" w:eastAsia="仿宋_GB2312" w:cs="仿宋"/>
          <w:sz w:val="32"/>
          <w:szCs w:val="32"/>
        </w:rPr>
        <w:t>万元，增加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137.86</w:t>
      </w:r>
      <w:r>
        <w:rPr>
          <w:rFonts w:hint="eastAsia" w:ascii="仿宋_GB2312" w:hAnsi="仿宋" w:eastAsia="仿宋_GB2312" w:cs="仿宋"/>
          <w:sz w:val="32"/>
          <w:szCs w:val="32"/>
        </w:rPr>
        <w:t>万元，差异率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67.56</w:t>
      </w:r>
      <w:r>
        <w:rPr>
          <w:rFonts w:hint="eastAsia" w:ascii="仿宋_GB2312" w:hAnsi="仿宋" w:eastAsia="仿宋_GB2312" w:cs="仿宋"/>
          <w:sz w:val="32"/>
          <w:szCs w:val="32"/>
        </w:rPr>
        <w:t>%。差异主要原因一是本年增加东西部扶贫协作专项资金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100</w:t>
      </w:r>
      <w:r>
        <w:rPr>
          <w:rFonts w:hint="eastAsia" w:ascii="仿宋_GB2312" w:hAnsi="仿宋" w:eastAsia="仿宋_GB2312" w:cs="仿宋"/>
          <w:sz w:val="32"/>
          <w:szCs w:val="32"/>
        </w:rPr>
        <w:t>万元；二是本年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人员经费增加</w:t>
      </w:r>
      <w:r>
        <w:rPr>
          <w:rFonts w:hint="eastAsia" w:ascii="仿宋_GB2312" w:hAnsi="仿宋" w:eastAsia="仿宋_GB2312" w:cs="仿宋"/>
          <w:sz w:val="32"/>
          <w:szCs w:val="32"/>
        </w:rPr>
        <w:t>。</w:t>
      </w:r>
    </w:p>
    <w:p>
      <w:pPr>
        <w:numPr>
          <w:ilvl w:val="0"/>
          <w:numId w:val="0"/>
        </w:numPr>
        <w:spacing w:line="580" w:lineRule="exact"/>
        <w:ind w:firstLine="321" w:firstLineChars="1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部门财政资金支出情况</w:t>
      </w:r>
    </w:p>
    <w:p>
      <w:pPr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20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年支出情况：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本年预算支出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204.03</w:t>
      </w:r>
      <w:r>
        <w:rPr>
          <w:rFonts w:hint="eastAsia" w:ascii="仿宋_GB2312" w:hAnsi="仿宋" w:eastAsia="仿宋_GB2312" w:cs="仿宋"/>
          <w:sz w:val="32"/>
          <w:szCs w:val="32"/>
        </w:rPr>
        <w:t>万元，决算支出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341.18</w:t>
      </w:r>
      <w:r>
        <w:rPr>
          <w:rFonts w:hint="eastAsia" w:ascii="仿宋_GB2312" w:hAnsi="仿宋" w:eastAsia="仿宋_GB2312" w:cs="仿宋"/>
          <w:sz w:val="32"/>
          <w:szCs w:val="32"/>
        </w:rPr>
        <w:t>万元，实际支出比预算支出增加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137.15</w:t>
      </w:r>
      <w:r>
        <w:rPr>
          <w:rFonts w:hint="eastAsia" w:ascii="仿宋_GB2312" w:hAnsi="仿宋" w:eastAsia="仿宋_GB2312" w:cs="仿宋"/>
          <w:sz w:val="32"/>
          <w:szCs w:val="32"/>
        </w:rPr>
        <w:t>万元，差异率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67.22</w:t>
      </w:r>
      <w:r>
        <w:rPr>
          <w:rFonts w:hint="eastAsia" w:ascii="仿宋_GB2312" w:hAnsi="仿宋" w:eastAsia="仿宋_GB2312" w:cs="仿宋"/>
          <w:sz w:val="32"/>
          <w:szCs w:val="32"/>
        </w:rPr>
        <w:t>%。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按资金来源分析：其中财政拨款支出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341.18</w:t>
      </w:r>
      <w:r>
        <w:rPr>
          <w:rFonts w:hint="eastAsia" w:ascii="仿宋_GB2312" w:hAnsi="仿宋" w:eastAsia="仿宋_GB2312"/>
          <w:sz w:val="32"/>
          <w:szCs w:val="32"/>
        </w:rPr>
        <w:t>万元，占本年总支出的100%，按支出性质分析：基本支出2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41.89</w:t>
      </w:r>
      <w:r>
        <w:rPr>
          <w:rFonts w:hint="eastAsia" w:ascii="仿宋_GB2312" w:hAnsi="仿宋" w:eastAsia="仿宋_GB2312"/>
          <w:sz w:val="32"/>
          <w:szCs w:val="32"/>
        </w:rPr>
        <w:t>万元，占本年总支出的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70.80</w:t>
      </w:r>
      <w:r>
        <w:rPr>
          <w:rFonts w:hint="eastAsia" w:ascii="仿宋_GB2312" w:hAnsi="仿宋" w:eastAsia="仿宋_GB2312"/>
          <w:sz w:val="32"/>
          <w:szCs w:val="32"/>
        </w:rPr>
        <w:t>%，项目支出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99.29</w:t>
      </w:r>
      <w:r>
        <w:rPr>
          <w:rFonts w:hint="eastAsia" w:ascii="仿宋_GB2312" w:hAnsi="仿宋" w:eastAsia="仿宋_GB2312"/>
          <w:sz w:val="32"/>
          <w:szCs w:val="32"/>
        </w:rPr>
        <w:t>万元，占本年总支出的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29.10</w:t>
      </w:r>
      <w:r>
        <w:rPr>
          <w:rFonts w:hint="eastAsia" w:ascii="仿宋_GB2312" w:hAnsi="仿宋" w:eastAsia="仿宋_GB2312"/>
          <w:sz w:val="32"/>
          <w:szCs w:val="32"/>
        </w:rPr>
        <w:t>%；按支出经济分类：工资福利支出1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78.84</w:t>
      </w:r>
      <w:r>
        <w:rPr>
          <w:rFonts w:hint="eastAsia" w:ascii="仿宋_GB2312" w:hAnsi="仿宋" w:eastAsia="仿宋_GB2312"/>
          <w:sz w:val="32"/>
          <w:szCs w:val="32"/>
        </w:rPr>
        <w:t>万元，占本年支出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52.42</w:t>
      </w:r>
      <w:r>
        <w:rPr>
          <w:rFonts w:hint="eastAsia" w:ascii="仿宋_GB2312" w:hAnsi="仿宋" w:eastAsia="仿宋_GB2312"/>
          <w:sz w:val="32"/>
          <w:szCs w:val="32"/>
        </w:rPr>
        <w:t>%，商品和服务支出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120.11</w:t>
      </w:r>
      <w:r>
        <w:rPr>
          <w:rFonts w:hint="eastAsia" w:ascii="仿宋_GB2312" w:hAnsi="仿宋" w:eastAsia="仿宋_GB2312"/>
          <w:sz w:val="32"/>
          <w:szCs w:val="32"/>
        </w:rPr>
        <w:t>万元，占本年支出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35.20</w:t>
      </w:r>
      <w:r>
        <w:rPr>
          <w:rFonts w:hint="eastAsia" w:ascii="仿宋_GB2312" w:hAnsi="仿宋" w:eastAsia="仿宋_GB2312"/>
          <w:sz w:val="32"/>
          <w:szCs w:val="32"/>
        </w:rPr>
        <w:t>%，对个人和家庭的补助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42.23</w:t>
      </w:r>
      <w:r>
        <w:rPr>
          <w:rFonts w:hint="eastAsia" w:ascii="仿宋_GB2312" w:hAnsi="仿宋" w:eastAsia="仿宋_GB2312"/>
          <w:sz w:val="32"/>
          <w:szCs w:val="32"/>
        </w:rPr>
        <w:t>万元，占本年支1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2.38</w:t>
      </w:r>
      <w:r>
        <w:rPr>
          <w:rFonts w:hint="eastAsia" w:ascii="仿宋_GB2312" w:hAnsi="仿宋" w:eastAsia="仿宋_GB2312"/>
          <w:sz w:val="32"/>
          <w:szCs w:val="32"/>
        </w:rPr>
        <w:t>%。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“三公”经费预算执行情况: 201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年预算公务接待费0.2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万元,公务用车运行维护费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万元,合计5.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20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</w:t>
      </w:r>
      <w:r>
        <w:rPr>
          <w:rFonts w:hint="eastAsia" w:ascii="仿宋_GB2312" w:hAnsi="仿宋" w:eastAsia="仿宋_GB2312"/>
          <w:sz w:val="32"/>
          <w:szCs w:val="32"/>
        </w:rPr>
        <w:t>。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年度决算公务接待费0.20万元,公务用车运行维护费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4.82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万元,合计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5.02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部门整体预算绩效管理情况</w:t>
      </w:r>
    </w:p>
    <w:p>
      <w:pPr>
        <w:numPr>
          <w:ilvl w:val="0"/>
          <w:numId w:val="0"/>
        </w:numPr>
        <w:spacing w:line="58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）部门预算管理</w:t>
      </w:r>
    </w:p>
    <w:p>
      <w:pPr>
        <w:snapToGrid w:val="0"/>
        <w:spacing w:line="560" w:lineRule="exact"/>
        <w:ind w:firstLine="640" w:firstLineChars="200"/>
        <w:jc w:val="left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  <w:lang w:eastAsia="zh-CN"/>
        </w:rPr>
        <w:t>本年本单位部门整体绩效目标是：贯彻落实党和政府就业方针政策，统筹协调城乡就业，开展各类就业培训和职业介绍，经办失业保险，实施就业援助等工作。</w:t>
      </w:r>
    </w:p>
    <w:p>
      <w:pPr>
        <w:snapToGrid w:val="0"/>
        <w:spacing w:line="560" w:lineRule="exact"/>
        <w:ind w:firstLine="640" w:firstLineChars="200"/>
        <w:jc w:val="left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2019年整体目标完成情况较好。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按时完成预算编制并提交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单位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预算草案。预算编制中，特别注意对预算编制准确性的把握，并严格按照要求进行预算执行调整。按时完成待批复提前细化。</w:t>
      </w:r>
    </w:p>
    <w:p>
      <w:pPr>
        <w:pStyle w:val="2"/>
        <w:adjustRightInd w:val="0"/>
        <w:snapToGrid w:val="0"/>
        <w:spacing w:before="93" w:line="600" w:lineRule="exact"/>
        <w:ind w:firstLine="675" w:firstLineChars="210"/>
        <w:outlineLvl w:val="2"/>
        <w:rPr>
          <w:rFonts w:hint="eastAsia" w:hAnsi="仿宋"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z w:val="32"/>
          <w:szCs w:val="32"/>
        </w:rPr>
        <w:t>201</w:t>
      </w:r>
      <w:r>
        <w:rPr>
          <w:rFonts w:hint="eastAsia" w:ascii="楷体_GB2312" w:hAnsi="楷体_GB2312" w:eastAsia="楷体_GB2312" w:cs="楷体_GB2312"/>
          <w:b/>
          <w:bCs w:val="0"/>
          <w:color w:val="000000"/>
          <w:sz w:val="32"/>
          <w:szCs w:val="32"/>
          <w:lang w:val="en-US" w:eastAsia="zh-CN"/>
        </w:rPr>
        <w:t>9</w:t>
      </w:r>
      <w:r>
        <w:rPr>
          <w:rFonts w:hint="eastAsia" w:ascii="楷体_GB2312" w:hAnsi="楷体_GB2312" w:eastAsia="楷体_GB2312" w:cs="楷体_GB2312"/>
          <w:b/>
          <w:bCs w:val="0"/>
          <w:color w:val="000000"/>
          <w:sz w:val="32"/>
          <w:szCs w:val="32"/>
        </w:rPr>
        <w:t>年重点工作完成情况</w:t>
      </w:r>
    </w:p>
    <w:p>
      <w:pPr>
        <w:spacing w:after="0" w:line="570" w:lineRule="exact"/>
        <w:ind w:firstLine="643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" w:hAnsi="仿宋" w:eastAsia="仿宋" w:cs="楷体"/>
          <w:b/>
          <w:sz w:val="32"/>
          <w:szCs w:val="32"/>
        </w:rPr>
        <w:t>1.就业工作。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全县城镇新增就业538人，完成目标任务530人的101.5%(其中城镇失业人员再就业21人，完成目标任务20人的105%；就业困难人员再就业6人，完成目标任务5人的120%)。</w:t>
      </w:r>
      <w:r>
        <w:rPr>
          <w:rFonts w:hint="eastAsia" w:ascii="仿宋_GB2312" w:hAnsi="Calibri" w:eastAsia="仿宋_GB2312"/>
          <w:color w:val="000000"/>
          <w:sz w:val="32"/>
          <w:szCs w:val="32"/>
        </w:rPr>
        <w:t>开展各类培训</w:t>
      </w:r>
      <w:r>
        <w:rPr>
          <w:rFonts w:hint="eastAsia" w:ascii="仿宋_GB2312" w:hAnsi="Calibri" w:eastAsia="仿宋_GB2312"/>
          <w:color w:val="000000"/>
          <w:sz w:val="32"/>
          <w:szCs w:val="32"/>
          <w:lang w:val="en-US" w:eastAsia="zh-CN"/>
        </w:rPr>
        <w:t>938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人（培训贫困人员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217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人）: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开展就业技能培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训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829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人（培训贫困人员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187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人）。</w:t>
      </w:r>
      <w:r>
        <w:rPr>
          <w:rFonts w:hint="eastAsia" w:ascii="仿宋_GB2312" w:hAnsi="楷体" w:eastAsia="仿宋_GB2312" w:cs="仿宋_GB2312"/>
          <w:color w:val="000000" w:themeColor="text1"/>
          <w:sz w:val="32"/>
          <w:szCs w:val="32"/>
        </w:rPr>
        <w:t>其中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外出务工人员转移前法律法规、务工常识技能培训137人（贫困人员55人）；对口帮扶地海宁桐乡企业务工人员在岗技能+团队建设培训57人（贫困人员26人）；沙石多乡甲足村中式烹饪+乡村旅游培训59人（贫困人员6人）；驾驶培训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426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人（贫困人员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80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人）；挖掘机培训120人（贫困人员15人）；</w:t>
      </w:r>
      <w:r>
        <w:rPr>
          <w:rFonts w:hint="eastAsia" w:ascii="仿宋_GB2312" w:eastAsia="仿宋_GB2312" w:cs="仿宋_GB2312"/>
          <w:color w:val="000000" w:themeColor="text1"/>
          <w:sz w:val="32"/>
          <w:szCs w:val="32"/>
        </w:rPr>
        <w:t>省交通厅精准扶贫工程机械操作技能（挖掘机）2019年专项培训5人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（贫困人员5人）</w:t>
      </w:r>
      <w:r>
        <w:rPr>
          <w:rFonts w:hint="eastAsia" w:ascii="仿宋_GB2312" w:eastAsia="仿宋_GB2312" w:cs="仿宋_GB2312"/>
          <w:color w:val="000000" w:themeColor="text1"/>
          <w:sz w:val="32"/>
          <w:szCs w:val="32"/>
        </w:rPr>
        <w:t>；SYB创业培训25人。</w:t>
      </w:r>
      <w:r>
        <w:rPr>
          <w:rFonts w:hint="eastAsia" w:ascii="仿宋_GB2312" w:eastAsia="仿宋_GB2312" w:cs="仿宋_GB2312"/>
          <w:b/>
          <w:bCs/>
          <w:color w:val="000000" w:themeColor="text1"/>
          <w:sz w:val="32"/>
          <w:szCs w:val="32"/>
        </w:rPr>
        <w:t>二是</w:t>
      </w:r>
      <w:r>
        <w:rPr>
          <w:rFonts w:hint="eastAsia" w:ascii="仿宋_GB2312" w:eastAsia="仿宋_GB2312" w:cs="仿宋_GB2312"/>
          <w:color w:val="000000" w:themeColor="text1"/>
          <w:sz w:val="32"/>
          <w:szCs w:val="32"/>
        </w:rPr>
        <w:t>开展农业专业技术暨农村致富带头人培训109人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（培训贫困人员30人）。</w:t>
      </w:r>
      <w:r>
        <w:rPr>
          <w:rFonts w:hint="eastAsia" w:ascii="仿宋_GB2312" w:eastAsia="仿宋_GB2312" w:cs="仿宋_GB2312"/>
          <w:color w:val="000000" w:themeColor="text1"/>
          <w:sz w:val="32"/>
          <w:szCs w:val="32"/>
        </w:rPr>
        <w:t>通过培训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shd w:val="clear" w:color="auto" w:fill="FFFFFF"/>
        </w:rPr>
        <w:t>有效地提升了劳动者的基本素质、就业创业能力</w:t>
      </w:r>
      <w:r>
        <w:rPr>
          <w:rFonts w:hint="eastAsia" w:ascii="仿宋_GB2312" w:eastAsia="仿宋_GB2312" w:cs="仿宋_GB2312"/>
          <w:color w:val="000000" w:themeColor="text1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</w:t>
      </w:r>
    </w:p>
    <w:p>
      <w:pPr>
        <w:spacing w:line="56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开发公益性岗位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4168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个（其中：安置贫困劳动力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2459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人）。扶持</w:t>
      </w:r>
      <w:r>
        <w:rPr>
          <w:rFonts w:hint="eastAsia" w:ascii="仿宋_GB2312" w:hAnsi="仿宋_GB2312" w:eastAsia="仿宋_GB2312" w:cs="仿宋_GB2312"/>
          <w:color w:val="000000" w:themeColor="text1"/>
          <w:spacing w:val="5"/>
          <w:sz w:val="32"/>
          <w:szCs w:val="32"/>
          <w:shd w:val="clear" w:color="auto" w:fill="FFFFFF"/>
        </w:rPr>
        <w:t>高校毕业生创业</w:t>
      </w:r>
      <w:r>
        <w:rPr>
          <w:rFonts w:hint="eastAsia" w:ascii="仿宋_GB2312" w:hAnsi="仿宋_GB2312" w:eastAsia="仿宋_GB2312" w:cs="仿宋_GB2312"/>
          <w:color w:val="000000" w:themeColor="text1"/>
          <w:spacing w:val="5"/>
          <w:sz w:val="32"/>
          <w:szCs w:val="32"/>
          <w:shd w:val="clear" w:color="auto" w:fill="FFFFFF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000000" w:themeColor="text1"/>
          <w:spacing w:val="5"/>
          <w:sz w:val="32"/>
          <w:szCs w:val="32"/>
          <w:shd w:val="clear" w:color="auto" w:fill="FFFFFF"/>
        </w:rPr>
        <w:t>人</w:t>
      </w:r>
      <w:r>
        <w:rPr>
          <w:rFonts w:hint="eastAsia" w:ascii="仿宋_GB2312" w:hAnsi="仿宋_GB2312" w:eastAsia="仿宋_GB2312" w:cs="仿宋_GB2312"/>
          <w:color w:val="000000"/>
          <w:spacing w:val="5"/>
          <w:sz w:val="32"/>
          <w:szCs w:val="32"/>
          <w:shd w:val="clear" w:color="auto" w:fill="FFFFFF"/>
        </w:rPr>
        <w:t>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城镇登记失业率控制在3.8%以内。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全县参加申报登记失业保险人数3139人，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完成目标任务3010人的104.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000000"/>
          <w:spacing w:val="5"/>
          <w:sz w:val="32"/>
          <w:szCs w:val="32"/>
          <w:shd w:val="clear" w:color="auto" w:fill="FFFFFF"/>
        </w:rPr>
        <w:t>%，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征收失业保险金301.07万元，为9名失业人员发放失业保险金  6.92 万元，为6人代缴医疗保险13387.46元。为全县16户参保企业落实稳岗补贴18.60万元，惠及企业职工500人，切实减轻了企业负担，维护了社会和谐稳定。</w:t>
      </w:r>
    </w:p>
    <w:p>
      <w:pPr>
        <w:spacing w:line="560" w:lineRule="exact"/>
        <w:ind w:firstLine="643" w:firstLineChars="200"/>
        <w:rPr>
          <w:rFonts w:ascii="仿宋" w:hAnsi="仿宋" w:eastAsia="仿宋" w:cs="仿宋_GB2312"/>
          <w:color w:val="000000"/>
          <w:sz w:val="32"/>
          <w:szCs w:val="32"/>
        </w:rPr>
      </w:pPr>
      <w:r>
        <w:rPr>
          <w:rFonts w:hint="eastAsia" w:ascii="仿宋" w:hAnsi="仿宋" w:eastAsia="仿宋" w:cs="楷体"/>
          <w:b/>
          <w:color w:val="000000"/>
          <w:sz w:val="32"/>
          <w:szCs w:val="32"/>
        </w:rPr>
        <w:t>2.农劳工作。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全县实现劳动力转移输出1.7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万人，完成目标任务1.6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万人的10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sz w:val="32"/>
          <w:szCs w:val="32"/>
        </w:rPr>
        <w:t>劳务经济收入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3.6</w:t>
      </w:r>
      <w:r>
        <w:rPr>
          <w:rFonts w:hint="eastAsia" w:ascii="仿宋_GB2312" w:hAnsi="仿宋_GB2312" w:eastAsia="仿宋_GB2312" w:cs="仿宋_GB2312"/>
          <w:sz w:val="32"/>
          <w:szCs w:val="32"/>
        </w:rPr>
        <w:t>亿元，(其中贫困劳动力转移就业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1684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人，劳务经济收入4200万元)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。开展劳务品牌培训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人（贫困人员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人）。</w:t>
      </w:r>
    </w:p>
    <w:p>
      <w:pPr>
        <w:snapToGrid w:val="0"/>
        <w:spacing w:line="360" w:lineRule="auto"/>
        <w:ind w:firstLine="643" w:firstLineChars="200"/>
        <w:jc w:val="left"/>
        <w:rPr>
          <w:rFonts w:hAnsi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楷体"/>
          <w:b/>
          <w:bCs/>
          <w:color w:val="000000"/>
          <w:sz w:val="32"/>
          <w:szCs w:val="32"/>
        </w:rPr>
        <w:t>3.加强对接，落实东西部劳务协作。</w:t>
      </w:r>
      <w:r>
        <w:rPr>
          <w:rFonts w:hint="eastAsia" w:ascii="仿宋_GB2312" w:hAnsi="黑体" w:eastAsia="仿宋_GB2312" w:cs="仿宋"/>
          <w:sz w:val="32"/>
          <w:szCs w:val="32"/>
        </w:rPr>
        <w:t>2019年东西部劳务协作工作开展以来，我县通过双方建立劳务协作帮扶机制、开展就业招聘会、企业定点对接、技能培训、就业援助等措施，全年累计帮助务工人员到浙江就业和省内就近就业</w:t>
      </w:r>
      <w:r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t>213</w:t>
      </w:r>
      <w:r>
        <w:rPr>
          <w:rFonts w:hint="eastAsia" w:ascii="仿宋_GB2312" w:hAnsi="黑体" w:eastAsia="仿宋_GB2312" w:cs="仿宋"/>
          <w:sz w:val="32"/>
          <w:szCs w:val="32"/>
        </w:rPr>
        <w:t>人（贫困人员</w:t>
      </w:r>
      <w:r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t>86</w:t>
      </w:r>
      <w:r>
        <w:rPr>
          <w:rFonts w:hint="eastAsia" w:ascii="仿宋_GB2312" w:hAnsi="黑体" w:eastAsia="仿宋_GB2312" w:cs="仿宋"/>
          <w:sz w:val="32"/>
          <w:szCs w:val="32"/>
        </w:rPr>
        <w:t>人），其中向浙江对口帮扶地及帮扶地在川企业组织输送务工人员就业1</w:t>
      </w:r>
      <w:r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t>15</w:t>
      </w:r>
      <w:r>
        <w:rPr>
          <w:rFonts w:hint="eastAsia" w:ascii="仿宋_GB2312" w:hAnsi="黑体" w:eastAsia="仿宋_GB2312" w:cs="仿宋"/>
          <w:sz w:val="32"/>
          <w:szCs w:val="32"/>
        </w:rPr>
        <w:t>人（贫困人员4</w:t>
      </w:r>
      <w:r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t>5</w:t>
      </w:r>
      <w:r>
        <w:rPr>
          <w:rFonts w:hint="eastAsia" w:ascii="仿宋_GB2312" w:hAnsi="黑体" w:eastAsia="仿宋_GB2312" w:cs="仿宋"/>
          <w:sz w:val="32"/>
          <w:szCs w:val="32"/>
        </w:rPr>
        <w:t>人）；向省内企业组织输送务工人员就业</w:t>
      </w:r>
      <w:r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t>98</w:t>
      </w:r>
      <w:r>
        <w:rPr>
          <w:rFonts w:hint="eastAsia" w:ascii="仿宋_GB2312" w:hAnsi="黑体" w:eastAsia="仿宋_GB2312" w:cs="仿宋"/>
          <w:sz w:val="32"/>
          <w:szCs w:val="32"/>
        </w:rPr>
        <w:t>人（贫困人员</w:t>
      </w:r>
      <w:r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t>41</w:t>
      </w:r>
      <w:r>
        <w:rPr>
          <w:rFonts w:hint="eastAsia" w:ascii="仿宋_GB2312" w:hAnsi="黑体" w:eastAsia="仿宋_GB2312" w:cs="仿宋"/>
          <w:sz w:val="32"/>
          <w:szCs w:val="32"/>
        </w:rPr>
        <w:t>人），务工人员人均月劳务收入3500-4000元左右。</w:t>
      </w:r>
    </w:p>
    <w:p>
      <w:pPr>
        <w:snapToGrid w:val="0"/>
        <w:spacing w:line="360" w:lineRule="auto"/>
        <w:ind w:firstLine="640" w:firstLineChars="200"/>
        <w:jc w:val="left"/>
        <w:rPr>
          <w:rFonts w:hAnsi="仿宋"/>
          <w:bCs/>
          <w:color w:val="000000"/>
          <w:sz w:val="32"/>
          <w:szCs w:val="32"/>
        </w:rPr>
      </w:pPr>
    </w:p>
    <w:p>
      <w:pPr>
        <w:snapToGrid w:val="0"/>
        <w:spacing w:line="360" w:lineRule="auto"/>
        <w:ind w:firstLine="640" w:firstLineChars="200"/>
        <w:jc w:val="left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本年本单位预算绩效实施过程中无违法违规情况。</w:t>
      </w:r>
    </w:p>
    <w:p>
      <w:pPr>
        <w:numPr>
          <w:ilvl w:val="0"/>
          <w:numId w:val="0"/>
        </w:numPr>
        <w:spacing w:line="58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（二）专项预算管理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本单位专项预算项目主要用于促进就业劳务开发及招聘会，专项预算经费纳入商品和服务支出使用，预算项目规划合理，分配科学及时，结果符合工作要求。</w:t>
      </w:r>
    </w:p>
    <w:p>
      <w:pPr>
        <w:spacing w:line="580" w:lineRule="exact"/>
        <w:ind w:firstLine="640" w:firstLineChars="200"/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本年本单位开展了两次招聘会，春季秋季招聘会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val="en-US" w:eastAsia="zh-CN"/>
        </w:rPr>
        <w:t>共计提供就业岗位11000余个。其中92家用人单位亲临现场参加招聘，提供岗位9000余个，吸引2796人次求职者进场咨询求职，通过供需双方面对面、零距离的对接交流，达成求职意愿817人（其中建档立卡贫困人员89人），现场签订用工协议的29人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专项预算绩效实施过程中无违法违规情况。</w:t>
      </w:r>
    </w:p>
    <w:p>
      <w:pPr>
        <w:spacing w:line="58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（三）结果应用情况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包括部门自评质量、绩效目标公开和自评公开、评价结果整改和应用结果反馈等情况。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40" w:firstLineChars="200"/>
        <w:rPr>
          <w:rFonts w:hint="eastAsia" w:ascii="仿宋_GB2312" w:hAnsi="仿宋" w:eastAsia="仿宋_GB2312" w:cs="仿宋_GB2312"/>
          <w:color w:val="C0504D" w:themeColor="accent2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本年本单位在执行公务过程中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严格执行“厉行节约、反对浪费”的规定，严格控制“三公”经费支出，加强公务用车管理，努力降低燃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油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费用。</w:t>
      </w:r>
    </w:p>
    <w:p>
      <w:pPr>
        <w:snapToGrid w:val="0"/>
        <w:spacing w:line="560" w:lineRule="exact"/>
        <w:ind w:firstLine="640" w:firstLineChars="200"/>
        <w:jc w:val="left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部门预算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决算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在财政部门批复后及时填报预算公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开资料、决算公开资料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报表报财政审核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后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在政府信息公开网上公示。</w:t>
      </w: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四、评价结论及建议</w:t>
      </w:r>
    </w:p>
    <w:p>
      <w:pPr>
        <w:spacing w:line="560" w:lineRule="exact"/>
        <w:ind w:firstLine="645"/>
        <w:jc w:val="left"/>
        <w:rPr>
          <w:rFonts w:hint="eastAsia" w:ascii="楷体_GB2312" w:hAnsi="楷体_GB2312" w:eastAsia="楷体_GB2312" w:cs="楷体_GB2312"/>
          <w:b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color w:val="000000"/>
          <w:sz w:val="32"/>
          <w:szCs w:val="32"/>
        </w:rPr>
        <w:t>（一）评价结论</w:t>
      </w:r>
    </w:p>
    <w:p>
      <w:pPr>
        <w:spacing w:line="560" w:lineRule="exact"/>
        <w:ind w:firstLine="645"/>
        <w:jc w:val="left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按照国家政策法规规定，结合本部门的实际情况，建立健全了财务管理制度和约束机制，依法、有效地使用财政资金，提高财政资金使用效率，合理分配人、财、物，完成了部门职能目标，实现了较高的工作效率和支出绩效。</w:t>
      </w:r>
      <w:r>
        <w:rPr>
          <w:rFonts w:hint="eastAsia" w:ascii="宋体" w:hAnsi="宋体" w:eastAsia="仿宋_GB2312"/>
          <w:color w:val="000000"/>
          <w:sz w:val="32"/>
          <w:szCs w:val="32"/>
        </w:rPr>
        <w:t> </w:t>
      </w:r>
    </w:p>
    <w:p>
      <w:pPr>
        <w:spacing w:line="560" w:lineRule="exact"/>
        <w:ind w:firstLine="645"/>
        <w:jc w:val="left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结合评价得分评价结果为良好。</w:t>
      </w:r>
    </w:p>
    <w:p>
      <w:pPr>
        <w:spacing w:line="560" w:lineRule="exact"/>
        <w:ind w:firstLine="645"/>
        <w:jc w:val="left"/>
        <w:rPr>
          <w:rFonts w:hint="eastAsia" w:ascii="楷体_GB2312" w:hAnsi="楷体_GB2312" w:eastAsia="楷体_GB2312" w:cs="楷体_GB2312"/>
          <w:b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color w:val="000000"/>
          <w:sz w:val="32"/>
          <w:szCs w:val="32"/>
        </w:rPr>
        <w:t>（二）存在问题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 xml:space="preserve">　  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无。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rPr>
          <w:rFonts w:hint="eastAsia" w:ascii="楷体" w:hAnsi="楷体" w:eastAsia="楷体"/>
          <w:b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　　</w:t>
      </w:r>
      <w:r>
        <w:rPr>
          <w:rFonts w:hint="eastAsia" w:ascii="楷体_GB2312" w:hAnsi="楷体_GB2312" w:eastAsia="楷体_GB2312" w:cs="楷体_GB2312"/>
          <w:b/>
          <w:color w:val="000000"/>
          <w:kern w:val="2"/>
          <w:sz w:val="32"/>
          <w:szCs w:val="32"/>
          <w:lang w:val="en-US" w:eastAsia="zh-CN" w:bidi="ar-SA"/>
        </w:rPr>
        <w:t>（三）改进建议 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　　我们将进一步重视预算的编制工作，提高预算编制的精确度，提高财政资金使用效率，尽量减少预算执行调整、结转和结余注销的情形。</w:t>
      </w:r>
      <w:r>
        <w:rPr>
          <w:rFonts w:hint="eastAsia" w:eastAsia="仿宋_GB2312"/>
          <w:color w:val="000000"/>
          <w:sz w:val="32"/>
          <w:szCs w:val="32"/>
        </w:rPr>
        <w:t> 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　　</w:t>
      </w:r>
      <w:r>
        <w:rPr>
          <w:rFonts w:hint="eastAsia" w:eastAsia="仿宋_GB2312"/>
          <w:sz w:val="32"/>
          <w:szCs w:val="32"/>
        </w:rPr>
        <w:t>  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2880" w:firstLineChars="900"/>
        <w:rPr>
          <w:rFonts w:hint="eastAsia" w:ascii="仿宋_GB2312" w:hAnsi="仿宋" w:eastAsia="仿宋_GB2312"/>
          <w:sz w:val="32"/>
          <w:szCs w:val="32"/>
        </w:rPr>
      </w:pP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2880" w:firstLineChars="900"/>
        <w:rPr>
          <w:rFonts w:hint="eastAsia" w:ascii="仿宋_GB2312" w:hAnsi="仿宋" w:eastAsia="仿宋_GB2312"/>
          <w:sz w:val="32"/>
          <w:szCs w:val="32"/>
        </w:rPr>
      </w:pP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2880" w:firstLineChars="900"/>
        <w:rPr>
          <w:rFonts w:hint="eastAsia" w:ascii="仿宋_GB2312" w:hAnsi="仿宋" w:eastAsia="仿宋_GB2312"/>
          <w:sz w:val="32"/>
          <w:szCs w:val="32"/>
        </w:rPr>
      </w:pP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2880" w:firstLineChars="900"/>
        <w:rPr>
          <w:rFonts w:hint="eastAsia" w:ascii="仿宋_GB2312" w:hAnsi="仿宋" w:eastAsia="仿宋_GB2312"/>
          <w:sz w:val="32"/>
          <w:szCs w:val="32"/>
        </w:rPr>
      </w:pP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2880" w:firstLineChars="9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黑水县公共就业和人才交流服务局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left="5030" w:leftChars="1100" w:hanging="2720" w:hangingChars="8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20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" w:eastAsia="仿宋_GB2312"/>
          <w:sz w:val="32"/>
          <w:szCs w:val="32"/>
        </w:rPr>
        <w:t>日</w:t>
      </w: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31747"/>
    <w:multiLevelType w:val="singleLevel"/>
    <w:tmpl w:val="5963174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B22"/>
    <w:rsid w:val="00291808"/>
    <w:rsid w:val="00491B22"/>
    <w:rsid w:val="0052390C"/>
    <w:rsid w:val="076C4646"/>
    <w:rsid w:val="07CA3CB5"/>
    <w:rsid w:val="11952D54"/>
    <w:rsid w:val="13501F02"/>
    <w:rsid w:val="21D638E9"/>
    <w:rsid w:val="21E439D4"/>
    <w:rsid w:val="2405500C"/>
    <w:rsid w:val="25D73A78"/>
    <w:rsid w:val="280C140B"/>
    <w:rsid w:val="2A0E7A76"/>
    <w:rsid w:val="301655D7"/>
    <w:rsid w:val="31377B80"/>
    <w:rsid w:val="36435EC2"/>
    <w:rsid w:val="37E77483"/>
    <w:rsid w:val="39963C5D"/>
    <w:rsid w:val="3BE24BD4"/>
    <w:rsid w:val="3C3B361D"/>
    <w:rsid w:val="3F564DBA"/>
    <w:rsid w:val="4166479A"/>
    <w:rsid w:val="471238C1"/>
    <w:rsid w:val="4DBE19F8"/>
    <w:rsid w:val="4EA5109A"/>
    <w:rsid w:val="5917022A"/>
    <w:rsid w:val="59D36C53"/>
    <w:rsid w:val="5ACF1FB7"/>
    <w:rsid w:val="5E124903"/>
    <w:rsid w:val="5E293CAE"/>
    <w:rsid w:val="62930323"/>
    <w:rsid w:val="62F955B8"/>
    <w:rsid w:val="63235146"/>
    <w:rsid w:val="64320B73"/>
    <w:rsid w:val="662E2A7D"/>
    <w:rsid w:val="6646577E"/>
    <w:rsid w:val="67BF65B2"/>
    <w:rsid w:val="6ACB4492"/>
    <w:rsid w:val="6EE01D62"/>
    <w:rsid w:val="71E838D4"/>
    <w:rsid w:val="74742FCD"/>
    <w:rsid w:val="7B903DAB"/>
    <w:rsid w:val="7E2E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53</Words>
  <Characters>307</Characters>
  <Lines>2</Lines>
  <Paragraphs>1</Paragraphs>
  <TotalTime>4</TotalTime>
  <ScaleCrop>false</ScaleCrop>
  <LinksUpToDate>false</LinksUpToDate>
  <CharactersWithSpaces>359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Lenovo</cp:lastModifiedBy>
  <dcterms:modified xsi:type="dcterms:W3CDTF">2021-03-01T07:22:02Z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