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公共就业和人才交流服务局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年无因公出国（境）经费，与上年度持平。。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年决算持平。其中：国内公务接待费0.2万元，共计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spacing w:line="480" w:lineRule="atLeast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2020年增加1.04万元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本年换车，油耗增加，导致公务用车运行费用增加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安排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</w:t>
      </w:r>
      <w:r>
        <w:rPr>
          <w:rFonts w:hint="eastAsia" w:ascii="仿宋" w:hAnsi="仿宋" w:eastAsia="仿宋"/>
          <w:sz w:val="32"/>
          <w:szCs w:val="32"/>
        </w:rPr>
        <w:t>保障就业创业促进和农劳工作，出差,下乡等所需的公务用车燃料费、维修费、过路过桥费、保险费支出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黑水县公共就业和人才交流服务局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NGNlYWE1ZTE5ODUyMzM1OTQwYjA3NDhlZGRmMWUifQ=="/>
  </w:docVars>
  <w:rsids>
    <w:rsidRoot w:val="003F1AE8"/>
    <w:rsid w:val="003F1AE8"/>
    <w:rsid w:val="007153A1"/>
    <w:rsid w:val="1D0B2F60"/>
    <w:rsid w:val="45E461D0"/>
    <w:rsid w:val="66090EF9"/>
    <w:rsid w:val="770E735D"/>
    <w:rsid w:val="78E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413</Words>
  <Characters>476</Characters>
  <Lines>3</Lines>
  <Paragraphs>1</Paragraphs>
  <TotalTime>7</TotalTime>
  <ScaleCrop>false</ScaleCrop>
  <LinksUpToDate>false</LinksUpToDate>
  <CharactersWithSpaces>553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A紫陌</cp:lastModifiedBy>
  <dcterms:modified xsi:type="dcterms:W3CDTF">2022-08-15T04:00:22Z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7B51657D89454D5F846AD025761DBF36</vt:lpwstr>
  </property>
</Properties>
</file>