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outlineLvl w:val="0"/>
        <w:rPr>
          <w:rFonts w:hint="default" w:ascii="方正小标宋简体" w:hAnsi="方正小标宋简体" w:eastAsia="方正小标宋简体" w:cs="方正小标宋简体"/>
          <w:b/>
          <w:bCs w:val="0"/>
          <w:sz w:val="44"/>
          <w:szCs w:val="44"/>
          <w:lang w:val="en-US" w:eastAsia="zh-CN"/>
        </w:rPr>
      </w:pPr>
      <w:bookmarkStart w:id="0" w:name="_Toc15396616"/>
      <w:r>
        <w:rPr>
          <w:rFonts w:hint="eastAsia" w:ascii="方正小标宋简体" w:hAnsi="方正小标宋简体" w:eastAsia="方正小标宋简体" w:cs="方正小标宋简体"/>
          <w:b/>
          <w:bCs w:val="0"/>
          <w:sz w:val="44"/>
          <w:szCs w:val="44"/>
          <w:lang w:eastAsia="zh-CN"/>
        </w:rPr>
        <w:t>黑水县公共就业和人才交流服务</w:t>
      </w:r>
      <w:r>
        <w:rPr>
          <w:rFonts w:hint="eastAsia" w:ascii="方正小标宋简体" w:hAnsi="方正小标宋简体" w:eastAsia="方正小标宋简体" w:cs="方正小标宋简体"/>
          <w:b/>
          <w:bCs w:val="0"/>
          <w:sz w:val="44"/>
          <w:szCs w:val="44"/>
          <w:lang w:val="en-US" w:eastAsia="zh-CN"/>
        </w:rPr>
        <w:t>中心</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val="0"/>
          <w:sz w:val="44"/>
          <w:szCs w:val="44"/>
        </w:rPr>
      </w:pPr>
      <w:r>
        <w:rPr>
          <w:rFonts w:hint="eastAsia" w:ascii="方正小标宋简体" w:hAnsi="方正小标宋简体" w:eastAsia="方正小标宋简体" w:cs="方正小标宋简体"/>
          <w:b/>
          <w:bCs w:val="0"/>
          <w:sz w:val="44"/>
          <w:szCs w:val="44"/>
        </w:rPr>
        <w:t>20</w:t>
      </w:r>
      <w:r>
        <w:rPr>
          <w:rFonts w:hint="eastAsia" w:ascii="方正小标宋简体" w:hAnsi="方正小标宋简体" w:eastAsia="方正小标宋简体" w:cs="方正小标宋简体"/>
          <w:b/>
          <w:bCs w:val="0"/>
          <w:sz w:val="44"/>
          <w:szCs w:val="44"/>
          <w:lang w:val="en-US" w:eastAsia="zh-CN"/>
        </w:rPr>
        <w:t>22</w:t>
      </w:r>
      <w:r>
        <w:rPr>
          <w:rFonts w:hint="eastAsia" w:ascii="方正小标宋简体" w:hAnsi="方正小标宋简体" w:eastAsia="方正小标宋简体" w:cs="方正小标宋简体"/>
          <w:b/>
          <w:bCs w:val="0"/>
          <w:sz w:val="44"/>
          <w:szCs w:val="44"/>
        </w:rPr>
        <w:t>年部门整体支出绩效评价报告</w:t>
      </w:r>
      <w:bookmarkEnd w:id="0"/>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一、单位概况</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both"/>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（一）机构组成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黑水县公共就业和人才交流服务</w:t>
      </w:r>
      <w:r>
        <w:rPr>
          <w:rFonts w:hint="eastAsia" w:ascii="仿宋_GB2312" w:hAnsi="仿宋_GB2312" w:cs="仿宋_GB2312"/>
          <w:color w:val="000000" w:themeColor="text1"/>
          <w:sz w:val="32"/>
          <w:szCs w:val="32"/>
          <w:lang w:val="en-US" w:eastAsia="zh-CN"/>
          <w14:textFill>
            <w14:solidFill>
              <w14:schemeClr w14:val="tx1"/>
            </w14:solidFill>
          </w14:textFill>
        </w:rPr>
        <w:t>局</w:t>
      </w:r>
      <w:r>
        <w:rPr>
          <w:rFonts w:hint="eastAsia" w:ascii="仿宋_GB2312" w:hAnsi="仿宋_GB2312" w:eastAsia="仿宋_GB2312" w:cs="仿宋_GB2312"/>
          <w:color w:val="000000" w:themeColor="text1"/>
          <w:sz w:val="32"/>
          <w:szCs w:val="32"/>
          <w14:textFill>
            <w14:solidFill>
              <w14:schemeClr w14:val="tx1"/>
            </w14:solidFill>
          </w14:textFill>
        </w:rPr>
        <w:t>于2011年12月31日核定为参公单位，属县人社局二级参公事业单位，县级一级核算单位。2011年6月根据《关于设立黑水县劳务开发暨农</w:t>
      </w:r>
      <w:r>
        <w:rPr>
          <w:rFonts w:hint="default" w:ascii="仿宋_GB2312" w:hAnsi="仿宋_GB2312" w:cs="仿宋_GB2312"/>
          <w:color w:val="000000" w:themeColor="text1"/>
          <w:sz w:val="32"/>
          <w:szCs w:val="32"/>
          <w14:textFill>
            <w14:solidFill>
              <w14:schemeClr w14:val="tx1"/>
            </w14:solidFill>
          </w14:textFill>
        </w:rPr>
        <w:t>民</w:t>
      </w:r>
      <w:bookmarkStart w:id="1" w:name="_GoBack"/>
      <w:bookmarkEnd w:id="1"/>
      <w:r>
        <w:rPr>
          <w:rFonts w:hint="eastAsia" w:ascii="仿宋_GB2312" w:hAnsi="仿宋_GB2312" w:eastAsia="仿宋_GB2312" w:cs="仿宋_GB2312"/>
          <w:color w:val="000000" w:themeColor="text1"/>
          <w:sz w:val="32"/>
          <w:szCs w:val="32"/>
          <w14:textFill>
            <w14:solidFill>
              <w14:schemeClr w14:val="tx1"/>
            </w14:solidFill>
          </w14:textFill>
        </w:rPr>
        <w:t>工工作领导小组办公室的通知》（黑编发〔</w:t>
      </w:r>
      <w:r>
        <w:rPr>
          <w:rFonts w:hint="eastAsia" w:ascii="仿宋_GB2312" w:hAnsi="仿宋_GB2312" w:cs="仿宋_GB2312"/>
          <w:color w:val="000000" w:themeColor="text1"/>
          <w:sz w:val="32"/>
          <w:szCs w:val="32"/>
          <w:lang w:val="en-US" w:eastAsia="zh-CN"/>
          <w14:textFill>
            <w14:solidFill>
              <w14:schemeClr w14:val="tx1"/>
            </w14:solidFill>
          </w14:textFill>
        </w:rPr>
        <w:t>2011</w:t>
      </w:r>
      <w:r>
        <w:rPr>
          <w:rFonts w:hint="eastAsia" w:ascii="仿宋_GB2312" w:hAnsi="仿宋_GB2312" w:eastAsia="仿宋_GB2312" w:cs="仿宋_GB2312"/>
          <w:color w:val="000000" w:themeColor="text1"/>
          <w:sz w:val="32"/>
          <w:szCs w:val="32"/>
          <w14:textFill>
            <w14:solidFill>
              <w14:schemeClr w14:val="tx1"/>
            </w14:solidFill>
          </w14:textFill>
        </w:rPr>
        <w:t>〕20号）文件，黑水县劳务开发暨农民工工作领导小组办公室设在就业服务管理局，办公室主任由就业局副局长兼任，所需编制在县就业局内部调剂。2012年4月11日根据《关于黑水县人社局开展事业单位清理规范后机构设置的批复》（黑编发〔</w:t>
      </w:r>
      <w:r>
        <w:rPr>
          <w:rFonts w:hint="eastAsia" w:ascii="仿宋_GB2312" w:hAnsi="仿宋_GB2312" w:cs="仿宋_GB2312"/>
          <w:color w:val="000000" w:themeColor="text1"/>
          <w:sz w:val="32"/>
          <w:szCs w:val="32"/>
          <w:lang w:val="en-US" w:eastAsia="zh-CN"/>
          <w14:textFill>
            <w14:solidFill>
              <w14:schemeClr w14:val="tx1"/>
            </w14:solidFill>
          </w14:textFill>
        </w:rPr>
        <w:t>2012</w:t>
      </w:r>
      <w:r>
        <w:rPr>
          <w:rFonts w:hint="eastAsia" w:ascii="仿宋_GB2312" w:hAnsi="仿宋_GB2312" w:eastAsia="仿宋_GB2312" w:cs="仿宋_GB2312"/>
          <w:color w:val="000000" w:themeColor="text1"/>
          <w:sz w:val="32"/>
          <w:szCs w:val="32"/>
          <w14:textFill>
            <w14:solidFill>
              <w14:schemeClr w14:val="tx1"/>
            </w14:solidFill>
          </w14:textFill>
        </w:rPr>
        <w:t>〕41号）文件，黑水县就业局及农劳办为县人社局直属副科级全额拨款的事业机构，实行两块牌子一套人马管理体制。</w:t>
      </w:r>
      <w:r>
        <w:rPr>
          <w:rFonts w:hint="eastAsia" w:ascii="仿宋_GB2312" w:hAnsi="仿宋_GB2312" w:cs="仿宋_GB2312"/>
          <w:color w:val="000000" w:themeColor="text1"/>
          <w:sz w:val="32"/>
          <w:szCs w:val="32"/>
          <w:lang w:val="en-US" w:eastAsia="zh-CN"/>
          <w14:textFill>
            <w14:solidFill>
              <w14:schemeClr w14:val="tx1"/>
            </w14:solidFill>
          </w14:textFill>
        </w:rPr>
        <w:t>2023年6月黑水县公共就业和人才交流服务局更名为黑水县公共就业和人才交流服务中心。</w:t>
      </w:r>
    </w:p>
    <w:p>
      <w:pPr>
        <w:keepNext w:val="0"/>
        <w:keepLines w:val="0"/>
        <w:pageBreakBefore w:val="0"/>
        <w:kinsoku/>
        <w:wordWrap/>
        <w:overflowPunct/>
        <w:topLinePunct w:val="0"/>
        <w:autoSpaceDE/>
        <w:autoSpaceDN/>
        <w:bidi w:val="0"/>
        <w:snapToGrid w:val="0"/>
        <w:spacing w:line="560" w:lineRule="exact"/>
        <w:ind w:firstLine="642" w:firstLineChars="200"/>
        <w:jc w:val="both"/>
        <w:textAlignment w:val="auto"/>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（二）机构职能</w:t>
      </w: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我局内设办公室、失保股、就业训练和劳务开发股、职业指导股四个股室，主要</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负责全县机关、企事业单位失业保险金的发放、劳务输出、技能培训，职业指导，</w:t>
      </w:r>
      <w:r>
        <w:rPr>
          <w:rFonts w:hint="eastAsia" w:ascii="仿宋_GB2312" w:hAnsi="仿宋_GB2312" w:eastAsia="仿宋_GB2312" w:cs="仿宋_GB2312"/>
          <w:color w:val="000000" w:themeColor="text1"/>
          <w:sz w:val="32"/>
          <w:szCs w:val="32"/>
          <w14:textFill>
            <w14:solidFill>
              <w14:schemeClr w14:val="tx1"/>
            </w14:solidFill>
          </w14:textFill>
        </w:rPr>
        <w:t>开展公共就业服务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等工作</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snapToGrid w:val="0"/>
        <w:spacing w:line="560" w:lineRule="exact"/>
        <w:ind w:firstLine="642" w:firstLineChars="200"/>
        <w:jc w:val="both"/>
        <w:textAlignment w:val="auto"/>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（三）人员概况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cs="仿宋_GB2312"/>
          <w:color w:val="000000" w:themeColor="text1"/>
          <w:kern w:val="0"/>
          <w:sz w:val="32"/>
          <w:szCs w:val="32"/>
          <w:lang w:val="en-US" w:eastAsia="zh-CN"/>
          <w14:textFill>
            <w14:solidFill>
              <w14:schemeClr w14:val="tx1"/>
            </w14:solidFill>
          </w14:textFill>
        </w:rPr>
        <w:t>截止2022年末，</w:t>
      </w:r>
      <w:r>
        <w:rPr>
          <w:rFonts w:hint="eastAsia" w:ascii="仿宋_GB2312" w:hAnsi="仿宋_GB2312" w:eastAsia="仿宋_GB2312" w:cs="仿宋_GB2312"/>
          <w:color w:val="000000" w:themeColor="text1"/>
          <w:kern w:val="0"/>
          <w:sz w:val="32"/>
          <w:szCs w:val="32"/>
          <w14:textFill>
            <w14:solidFill>
              <w14:schemeClr w14:val="tx1"/>
            </w14:solidFill>
          </w14:textFill>
        </w:rPr>
        <w:t>黑水县</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公共就业和人才交流服务</w:t>
      </w:r>
      <w:r>
        <w:rPr>
          <w:rFonts w:hint="eastAsia" w:ascii="仿宋_GB2312" w:hAnsi="仿宋_GB2312" w:eastAsia="仿宋_GB2312" w:cs="仿宋_GB2312"/>
          <w:color w:val="000000" w:themeColor="text1"/>
          <w:kern w:val="0"/>
          <w:sz w:val="32"/>
          <w:szCs w:val="32"/>
          <w14:textFill>
            <w14:solidFill>
              <w14:schemeClr w14:val="tx1"/>
            </w14:solidFill>
          </w14:textFill>
        </w:rPr>
        <w:t>局编制12</w:t>
      </w:r>
      <w:r>
        <w:rPr>
          <w:rFonts w:hint="eastAsia" w:ascii="仿宋_GB2312" w:hAnsi="仿宋_GB2312" w:cs="仿宋_GB2312"/>
          <w:color w:val="000000" w:themeColor="text1"/>
          <w:kern w:val="0"/>
          <w:sz w:val="32"/>
          <w:szCs w:val="32"/>
          <w:lang w:val="en-US" w:eastAsia="zh-CN"/>
          <w14:textFill>
            <w14:solidFill>
              <w14:schemeClr w14:val="tx1"/>
            </w14:solidFill>
          </w14:textFill>
        </w:rPr>
        <w:t>人</w:t>
      </w:r>
      <w:r>
        <w:rPr>
          <w:rFonts w:hint="eastAsia" w:ascii="仿宋_GB2312" w:hAnsi="仿宋_GB2312" w:eastAsia="仿宋_GB2312" w:cs="仿宋_GB2312"/>
          <w:color w:val="000000" w:themeColor="text1"/>
          <w:kern w:val="0"/>
          <w:sz w:val="32"/>
          <w:szCs w:val="32"/>
          <w14:textFill>
            <w14:solidFill>
              <w14:schemeClr w14:val="tx1"/>
            </w14:solidFill>
          </w14:textFill>
        </w:rPr>
        <w:t>，其中：事业编制11</w:t>
      </w:r>
      <w:r>
        <w:rPr>
          <w:rFonts w:hint="eastAsia" w:ascii="仿宋_GB2312" w:hAnsi="仿宋_GB2312" w:cs="仿宋_GB2312"/>
          <w:color w:val="000000" w:themeColor="text1"/>
          <w:kern w:val="0"/>
          <w:sz w:val="32"/>
          <w:szCs w:val="32"/>
          <w:lang w:val="en-US" w:eastAsia="zh-CN"/>
          <w14:textFill>
            <w14:solidFill>
              <w14:schemeClr w14:val="tx1"/>
            </w14:solidFill>
          </w14:textFill>
        </w:rPr>
        <w:t>人，</w:t>
      </w:r>
      <w:r>
        <w:rPr>
          <w:rFonts w:hint="eastAsia" w:ascii="仿宋_GB2312" w:hAnsi="仿宋_GB2312" w:eastAsia="仿宋_GB2312" w:cs="仿宋_GB2312"/>
          <w:color w:val="000000" w:themeColor="text1"/>
          <w:kern w:val="0"/>
          <w:sz w:val="32"/>
          <w:szCs w:val="32"/>
          <w14:textFill>
            <w14:solidFill>
              <w14:schemeClr w14:val="tx1"/>
            </w14:solidFill>
          </w14:textFill>
        </w:rPr>
        <w:t>工勤编制1</w:t>
      </w:r>
      <w:r>
        <w:rPr>
          <w:rFonts w:hint="eastAsia" w:ascii="仿宋_GB2312" w:hAnsi="仿宋_GB2312" w:cs="仿宋_GB2312"/>
          <w:color w:val="000000" w:themeColor="text1"/>
          <w:kern w:val="0"/>
          <w:sz w:val="32"/>
          <w:szCs w:val="32"/>
          <w:lang w:val="en-US" w:eastAsia="zh-CN"/>
          <w14:textFill>
            <w14:solidFill>
              <w14:schemeClr w14:val="tx1"/>
            </w14:solidFill>
          </w14:textFill>
        </w:rPr>
        <w:t>人</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年末</w:t>
      </w:r>
      <w:r>
        <w:rPr>
          <w:rFonts w:hint="eastAsia" w:ascii="仿宋_GB2312" w:hAnsi="仿宋_GB2312" w:cs="仿宋_GB2312"/>
          <w:color w:val="000000" w:themeColor="text1"/>
          <w:sz w:val="32"/>
          <w:szCs w:val="32"/>
          <w:lang w:val="en-US" w:eastAsia="zh-CN"/>
          <w14:textFill>
            <w14:solidFill>
              <w14:schemeClr w14:val="tx1"/>
            </w14:solidFill>
          </w14:textFill>
        </w:rPr>
        <w:t>实有人数</w:t>
      </w: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人,其中本科</w:t>
      </w:r>
      <w:r>
        <w:rPr>
          <w:rFonts w:hint="eastAsia" w:ascii="仿宋_GB2312" w:hAnsi="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人，专科</w:t>
      </w:r>
      <w:r>
        <w:rPr>
          <w:rFonts w:hint="eastAsia" w:ascii="仿宋_GB2312" w:hAnsi="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人，高中学历1人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藏族</w:t>
      </w:r>
      <w:r>
        <w:rPr>
          <w:rFonts w:hint="eastAsia" w:ascii="仿宋_GB2312" w:hAnsi="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人，汉族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人,羌族3人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000000" w:themeColor="text1"/>
          <w:kern w:val="0"/>
          <w:sz w:val="32"/>
          <w:szCs w:val="32"/>
          <w:shd w:val="clear" w:color="auto" w:fill="FFFFFF"/>
          <w14:textFill>
            <w14:solidFill>
              <w14:schemeClr w14:val="tx1"/>
            </w14:solidFill>
          </w14:textFill>
        </w:rPr>
      </w:pPr>
      <w:r>
        <w:rPr>
          <w:rFonts w:hint="eastAsia" w:ascii="黑体" w:hAnsi="黑体" w:eastAsia="黑体" w:cs="黑体"/>
          <w:color w:val="000000" w:themeColor="text1"/>
          <w:kern w:val="0"/>
          <w:sz w:val="32"/>
          <w:szCs w:val="32"/>
          <w:shd w:val="clear" w:color="auto" w:fill="FFFFFF"/>
          <w14:textFill>
            <w14:solidFill>
              <w14:schemeClr w14:val="tx1"/>
            </w14:solidFill>
          </w14:textFill>
        </w:rPr>
        <w:t>二、部门财政资金收支情况</w:t>
      </w:r>
    </w:p>
    <w:p>
      <w:pPr>
        <w:keepNext w:val="0"/>
        <w:keepLines w:val="0"/>
        <w:pageBreakBefore w:val="0"/>
        <w:kinsoku/>
        <w:wordWrap/>
        <w:overflowPunct/>
        <w:topLinePunct w:val="0"/>
        <w:autoSpaceDE/>
        <w:autoSpaceDN/>
        <w:bidi w:val="0"/>
        <w:snapToGrid w:val="0"/>
        <w:spacing w:line="560" w:lineRule="exact"/>
        <w:ind w:firstLine="642" w:firstLineChars="200"/>
        <w:jc w:val="both"/>
        <w:textAlignment w:val="auto"/>
        <w:rPr>
          <w:rFonts w:hint="eastAsia" w:ascii="楷体_GB2312" w:hAnsi="楷体_GB2312" w:eastAsia="楷体_GB2312" w:cs="楷体_GB2312"/>
          <w:b/>
          <w:color w:val="000000" w:themeColor="text1"/>
          <w:sz w:val="32"/>
          <w:szCs w:val="32"/>
          <w:lang w:val="zh-CN"/>
          <w14:textFill>
            <w14:solidFill>
              <w14:schemeClr w14:val="tx1"/>
            </w14:solidFill>
          </w14:textFill>
        </w:rPr>
      </w:pPr>
      <w:r>
        <w:rPr>
          <w:rFonts w:hint="eastAsia" w:ascii="楷体_GB2312" w:hAnsi="楷体_GB2312" w:eastAsia="楷体_GB2312" w:cs="楷体_GB2312"/>
          <w:b/>
          <w:color w:val="000000" w:themeColor="text1"/>
          <w:sz w:val="32"/>
          <w:szCs w:val="32"/>
          <w:lang w:val="zh-CN"/>
          <w14:textFill>
            <w14:solidFill>
              <w14:schemeClr w14:val="tx1"/>
            </w14:solidFill>
          </w14:textFill>
        </w:rPr>
        <w:t>（一）部门财政资金收入情况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kern w:val="0"/>
          <w:sz w:val="32"/>
          <w:szCs w:val="32"/>
          <w14:textFill>
            <w14:solidFill>
              <w14:schemeClr w14:val="tx1"/>
            </w14:solidFill>
          </w14:textFill>
        </w:rPr>
        <w:t>年年初预算安排收入</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198.52</w:t>
      </w:r>
      <w:r>
        <w:rPr>
          <w:rFonts w:hint="eastAsia" w:ascii="仿宋_GB2312" w:hAnsi="仿宋_GB2312" w:eastAsia="仿宋_GB2312" w:cs="仿宋_GB2312"/>
          <w:color w:val="000000" w:themeColor="text1"/>
          <w:kern w:val="0"/>
          <w:sz w:val="32"/>
          <w:szCs w:val="32"/>
          <w14:textFill>
            <w14:solidFill>
              <w14:schemeClr w14:val="tx1"/>
            </w14:solidFill>
          </w14:textFill>
        </w:rPr>
        <w:t>万元，实际收入</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622.49</w:t>
      </w:r>
      <w:r>
        <w:rPr>
          <w:rFonts w:hint="eastAsia" w:ascii="仿宋_GB2312" w:hAnsi="仿宋_GB2312" w:eastAsia="仿宋_GB2312" w:cs="仿宋_GB2312"/>
          <w:color w:val="000000" w:themeColor="text1"/>
          <w:kern w:val="0"/>
          <w:sz w:val="32"/>
          <w:szCs w:val="32"/>
          <w14:textFill>
            <w14:solidFill>
              <w14:schemeClr w14:val="tx1"/>
            </w14:solidFill>
          </w14:textFill>
        </w:rPr>
        <w:t>万元，增加</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423.97</w:t>
      </w:r>
      <w:r>
        <w:rPr>
          <w:rFonts w:hint="eastAsia" w:ascii="仿宋_GB2312" w:hAnsi="仿宋_GB2312" w:eastAsia="仿宋_GB2312" w:cs="仿宋_GB2312"/>
          <w:color w:val="000000" w:themeColor="text1"/>
          <w:kern w:val="0"/>
          <w:sz w:val="32"/>
          <w:szCs w:val="32"/>
          <w14:textFill>
            <w14:solidFill>
              <w14:schemeClr w14:val="tx1"/>
            </w14:solidFill>
          </w14:textFill>
        </w:rPr>
        <w:t>万元，差异率</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213.56</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cs="仿宋_GB2312"/>
          <w:color w:val="000000" w:themeColor="text1"/>
          <w:kern w:val="0"/>
          <w:sz w:val="32"/>
          <w:szCs w:val="32"/>
          <w:lang w:eastAsia="zh-CN"/>
          <w14:textFill>
            <w14:solidFill>
              <w14:schemeClr w14:val="tx1"/>
            </w14:solidFill>
          </w14:textFill>
        </w:rPr>
        <w:t>增加原因分析：</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行政运行</w:t>
      </w:r>
      <w:r>
        <w:rPr>
          <w:rFonts w:hint="eastAsia" w:ascii="仿宋_GB2312" w:hAnsi="仿宋_GB2312" w:cs="仿宋_GB2312"/>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2080101</w:t>
      </w:r>
      <w:r>
        <w:rPr>
          <w:rFonts w:hint="eastAsia" w:ascii="仿宋_GB2312" w:hAnsi="仿宋_GB2312" w:cs="仿宋_GB2312"/>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本年决算收入202.65万元，比本年预算收入143.64万元增加59.01万元，增加主要原因是本年发放绩效考核奖未纳入预算</w:t>
      </w:r>
      <w:r>
        <w:rPr>
          <w:rFonts w:hint="eastAsia" w:ascii="仿宋_GB2312" w:hAnsi="仿宋_GB2312" w:cs="仿宋_GB2312"/>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其他扶贫支出2130599本年决算收入60万元，比本年预算收入增加60万元，增加主要原因是此项</w:t>
      </w:r>
      <w:r>
        <w:rPr>
          <w:rFonts w:hint="eastAsia" w:ascii="仿宋_GB2312" w:hAnsi="仿宋_GB2312" w:cs="仿宋_GB2312"/>
          <w:color w:val="000000" w:themeColor="text1"/>
          <w:kern w:val="0"/>
          <w:sz w:val="32"/>
          <w:szCs w:val="32"/>
          <w:lang w:val="en-US" w:eastAsia="zh-CN"/>
          <w14:textFill>
            <w14:solidFill>
              <w14:schemeClr w14:val="tx1"/>
            </w14:solidFill>
          </w14:textFill>
        </w:rPr>
        <w:t>目收入</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未纳本年预算</w:t>
      </w:r>
      <w:r>
        <w:rPr>
          <w:rFonts w:hint="eastAsia" w:ascii="仿宋_GB2312" w:hAnsi="仿宋_GB2312" w:cs="仿宋_GB2312"/>
          <w:color w:val="000000" w:themeColor="text1"/>
          <w:kern w:val="0"/>
          <w:sz w:val="32"/>
          <w:szCs w:val="32"/>
          <w:lang w:val="en-US" w:eastAsia="zh-CN"/>
          <w14:textFill>
            <w14:solidFill>
              <w14:schemeClr w14:val="tx1"/>
            </w14:solidFill>
          </w14:textFill>
        </w:rPr>
        <w:t>，系浙江对口支援资金；</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其它就业补助支出</w:t>
      </w:r>
      <w:r>
        <w:rPr>
          <w:rFonts w:hint="eastAsia" w:ascii="仿宋_GB2312" w:hAnsi="仿宋_GB2312" w:cs="仿宋_GB2312"/>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2080799</w:t>
      </w:r>
      <w:r>
        <w:rPr>
          <w:rFonts w:hint="eastAsia" w:ascii="仿宋_GB2312" w:hAnsi="仿宋_GB2312" w:cs="仿宋_GB2312"/>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本年决算</w:t>
      </w:r>
      <w:r>
        <w:rPr>
          <w:rFonts w:hint="eastAsia" w:ascii="仿宋_GB2312" w:hAnsi="仿宋_GB2312" w:cs="仿宋_GB2312"/>
          <w:color w:val="000000" w:themeColor="text1"/>
          <w:kern w:val="0"/>
          <w:sz w:val="32"/>
          <w:szCs w:val="32"/>
          <w:lang w:val="en-US" w:eastAsia="zh-CN"/>
          <w14:textFill>
            <w14:solidFill>
              <w14:schemeClr w14:val="tx1"/>
            </w14:solidFill>
          </w14:textFill>
        </w:rPr>
        <w:t>收入3</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299.90万元，比本年预算收入增加299.90万元，增加主要原因是此项目</w:t>
      </w:r>
      <w:r>
        <w:rPr>
          <w:rFonts w:hint="eastAsia" w:ascii="仿宋_GB2312" w:hAnsi="仿宋_GB2312" w:cs="仿宋_GB2312"/>
          <w:color w:val="000000" w:themeColor="text1"/>
          <w:kern w:val="0"/>
          <w:sz w:val="32"/>
          <w:szCs w:val="32"/>
          <w:lang w:val="en-US" w:eastAsia="zh-CN"/>
          <w14:textFill>
            <w14:solidFill>
              <w14:schemeClr w14:val="tx1"/>
            </w14:solidFill>
          </w14:textFill>
        </w:rPr>
        <w:t>收入</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未纳入本年预算，以前年度是专户管理。</w:t>
      </w:r>
    </w:p>
    <w:p>
      <w:pPr>
        <w:keepNext w:val="0"/>
        <w:keepLines w:val="0"/>
        <w:pageBreakBefore w:val="0"/>
        <w:kinsoku/>
        <w:wordWrap/>
        <w:overflowPunct/>
        <w:topLinePunct w:val="0"/>
        <w:autoSpaceDE/>
        <w:autoSpaceDN/>
        <w:bidi w:val="0"/>
        <w:snapToGrid w:val="0"/>
        <w:spacing w:line="560" w:lineRule="exact"/>
        <w:ind w:firstLine="642" w:firstLineChars="200"/>
        <w:jc w:val="both"/>
        <w:textAlignment w:val="auto"/>
        <w:rPr>
          <w:rFonts w:hint="eastAsia" w:ascii="楷体_GB2312" w:hAnsi="楷体_GB2312" w:eastAsia="楷体_GB2312" w:cs="楷体_GB2312"/>
          <w:b/>
          <w:color w:val="000000" w:themeColor="text1"/>
          <w:sz w:val="32"/>
          <w:szCs w:val="32"/>
          <w:lang w:val="zh-CN"/>
          <w14:textFill>
            <w14:solidFill>
              <w14:schemeClr w14:val="tx1"/>
            </w14:solidFill>
          </w14:textFill>
        </w:rPr>
      </w:pPr>
      <w:r>
        <w:rPr>
          <w:rFonts w:hint="eastAsia" w:ascii="楷体_GB2312" w:hAnsi="楷体_GB2312" w:eastAsia="楷体_GB2312" w:cs="楷体_GB2312"/>
          <w:b/>
          <w:color w:val="000000" w:themeColor="text1"/>
          <w:sz w:val="32"/>
          <w:szCs w:val="32"/>
          <w:lang w:val="zh-CN"/>
          <w14:textFill>
            <w14:solidFill>
              <w14:schemeClr w14:val="tx1"/>
            </w14:solidFill>
          </w14:textFill>
        </w:rPr>
        <w:t>（</w:t>
      </w:r>
      <w:r>
        <w:rPr>
          <w:rFonts w:hint="eastAsia" w:ascii="楷体_GB2312" w:hAnsi="楷体_GB2312" w:eastAsia="楷体_GB2312" w:cs="楷体_GB2312"/>
          <w:b/>
          <w:color w:val="000000" w:themeColor="text1"/>
          <w:sz w:val="32"/>
          <w:szCs w:val="32"/>
          <w:lang w:val="en-US" w:eastAsia="zh-CN"/>
          <w14:textFill>
            <w14:solidFill>
              <w14:schemeClr w14:val="tx1"/>
            </w14:solidFill>
          </w14:textFill>
        </w:rPr>
        <w:t>二</w:t>
      </w:r>
      <w:r>
        <w:rPr>
          <w:rFonts w:hint="eastAsia" w:ascii="楷体_GB2312" w:hAnsi="楷体_GB2312" w:eastAsia="楷体_GB2312" w:cs="楷体_GB2312"/>
          <w:b/>
          <w:color w:val="000000" w:themeColor="text1"/>
          <w:sz w:val="32"/>
          <w:szCs w:val="32"/>
          <w:lang w:val="zh-CN"/>
          <w14:textFill>
            <w14:solidFill>
              <w14:schemeClr w14:val="tx1"/>
            </w14:solidFill>
          </w14:textFill>
        </w:rPr>
        <w:t>）部门财政资金支出情况</w:t>
      </w:r>
    </w:p>
    <w:p>
      <w:pPr>
        <w:keepNext w:val="0"/>
        <w:keepLines w:val="0"/>
        <w:pageBreakBefore w:val="0"/>
        <w:numPr>
          <w:ilvl w:val="0"/>
          <w:numId w:val="0"/>
        </w:numPr>
        <w:kinsoku/>
        <w:wordWrap/>
        <w:overflowPunct/>
        <w:topLinePunct w:val="0"/>
        <w:autoSpaceDE/>
        <w:autoSpaceDN/>
        <w:bidi w:val="0"/>
        <w:snapToGrid w:val="0"/>
        <w:spacing w:line="560" w:lineRule="exact"/>
        <w:ind w:firstLine="642"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14:textFill>
            <w14:solidFill>
              <w14:schemeClr w14:val="tx1"/>
            </w14:solidFill>
          </w14:textFill>
        </w:rPr>
        <w:t>支出与预算对比分析：</w:t>
      </w:r>
      <w:r>
        <w:rPr>
          <w:rFonts w:hint="eastAsia" w:ascii="仿宋_GB2312" w:hAnsi="仿宋_GB2312" w:eastAsia="仿宋_GB2312" w:cs="仿宋_GB2312"/>
          <w:color w:val="000000" w:themeColor="text1"/>
          <w:sz w:val="32"/>
          <w:szCs w:val="32"/>
          <w14:textFill>
            <w14:solidFill>
              <w14:schemeClr w14:val="tx1"/>
            </w14:solidFill>
          </w14:textFill>
        </w:rPr>
        <w:t>本年预算支出</w:t>
      </w:r>
      <w:r>
        <w:rPr>
          <w:rFonts w:hint="eastAsia" w:ascii="仿宋_GB2312" w:hAnsi="仿宋_GB2312" w:cs="仿宋_GB2312"/>
          <w:color w:val="000000" w:themeColor="text1"/>
          <w:sz w:val="32"/>
          <w:szCs w:val="32"/>
          <w:lang w:val="en-US" w:eastAsia="zh-CN"/>
          <w14:textFill>
            <w14:solidFill>
              <w14:schemeClr w14:val="tx1"/>
            </w14:solidFill>
          </w14:textFill>
        </w:rPr>
        <w:t>198.52</w:t>
      </w:r>
      <w:r>
        <w:rPr>
          <w:rFonts w:hint="eastAsia" w:ascii="仿宋_GB2312" w:hAnsi="仿宋_GB2312" w:eastAsia="仿宋_GB2312" w:cs="仿宋_GB2312"/>
          <w:color w:val="000000" w:themeColor="text1"/>
          <w:sz w:val="32"/>
          <w:szCs w:val="32"/>
          <w14:textFill>
            <w14:solidFill>
              <w14:schemeClr w14:val="tx1"/>
            </w14:solidFill>
          </w14:textFill>
        </w:rPr>
        <w:t>万元，决算支出</w:t>
      </w:r>
      <w:r>
        <w:rPr>
          <w:rFonts w:hint="eastAsia" w:ascii="仿宋_GB2312" w:hAnsi="仿宋_GB2312" w:cs="仿宋_GB2312"/>
          <w:color w:val="000000" w:themeColor="text1"/>
          <w:sz w:val="32"/>
          <w:szCs w:val="32"/>
          <w:lang w:val="en-US" w:eastAsia="zh-CN"/>
          <w14:textFill>
            <w14:solidFill>
              <w14:schemeClr w14:val="tx1"/>
            </w14:solidFill>
          </w14:textFill>
        </w:rPr>
        <w:t>623.81</w:t>
      </w:r>
      <w:r>
        <w:rPr>
          <w:rFonts w:hint="eastAsia" w:ascii="仿宋_GB2312" w:hAnsi="仿宋_GB2312" w:eastAsia="仿宋_GB2312" w:cs="仿宋_GB2312"/>
          <w:color w:val="000000" w:themeColor="text1"/>
          <w:sz w:val="32"/>
          <w:szCs w:val="32"/>
          <w14:textFill>
            <w14:solidFill>
              <w14:schemeClr w14:val="tx1"/>
            </w14:solidFill>
          </w14:textFill>
        </w:rPr>
        <w:t>万元，本年实际支出比预算支出增加</w:t>
      </w:r>
      <w:r>
        <w:rPr>
          <w:rFonts w:hint="eastAsia" w:ascii="仿宋_GB2312" w:hAnsi="仿宋_GB2312" w:cs="仿宋_GB2312"/>
          <w:color w:val="000000" w:themeColor="text1"/>
          <w:sz w:val="32"/>
          <w:szCs w:val="32"/>
          <w:lang w:val="en-US" w:eastAsia="zh-CN"/>
          <w14:textFill>
            <w14:solidFill>
              <w14:schemeClr w14:val="tx1"/>
            </w14:solidFill>
          </w14:textFill>
        </w:rPr>
        <w:t>425.29</w:t>
      </w:r>
      <w:r>
        <w:rPr>
          <w:rFonts w:hint="eastAsia" w:ascii="仿宋_GB2312" w:hAnsi="仿宋_GB2312" w:eastAsia="仿宋_GB2312" w:cs="仿宋_GB2312"/>
          <w:color w:val="000000" w:themeColor="text1"/>
          <w:sz w:val="32"/>
          <w:szCs w:val="32"/>
          <w14:textFill>
            <w14:solidFill>
              <w14:schemeClr w14:val="tx1"/>
            </w14:solidFill>
          </w14:textFill>
        </w:rPr>
        <w:t>万元，差异率</w:t>
      </w:r>
      <w:r>
        <w:rPr>
          <w:rFonts w:hint="eastAsia" w:ascii="仿宋_GB2312" w:hAnsi="仿宋_GB2312" w:cs="仿宋_GB2312"/>
          <w:color w:val="000000" w:themeColor="text1"/>
          <w:sz w:val="32"/>
          <w:szCs w:val="32"/>
          <w:lang w:val="en-US" w:eastAsia="zh-CN"/>
          <w14:textFill>
            <w14:solidFill>
              <w14:schemeClr w14:val="tx1"/>
            </w14:solidFill>
          </w14:textFill>
        </w:rPr>
        <w:t>214.23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cs="仿宋_GB2312"/>
          <w:color w:val="000000" w:themeColor="text1"/>
          <w:kern w:val="0"/>
          <w:sz w:val="32"/>
          <w:szCs w:val="32"/>
          <w:lang w:eastAsia="zh-CN"/>
          <w14:textFill>
            <w14:solidFill>
              <w14:schemeClr w14:val="tx1"/>
            </w14:solidFill>
          </w14:textFill>
        </w:rPr>
        <w:t>增加原因分析：</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行政运行</w:t>
      </w:r>
      <w:r>
        <w:rPr>
          <w:rFonts w:hint="eastAsia" w:ascii="仿宋_GB2312" w:hAnsi="仿宋_GB2312" w:cs="仿宋_GB2312"/>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2080101</w:t>
      </w:r>
      <w:r>
        <w:rPr>
          <w:rFonts w:hint="eastAsia" w:ascii="仿宋_GB2312" w:hAnsi="仿宋_GB2312" w:cs="仿宋_GB2312"/>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本年决算</w:t>
      </w:r>
      <w:r>
        <w:rPr>
          <w:rFonts w:hint="eastAsia" w:ascii="仿宋_GB2312" w:hAnsi="仿宋_GB2312" w:cs="仿宋_GB2312"/>
          <w:color w:val="000000" w:themeColor="text1"/>
          <w:kern w:val="0"/>
          <w:sz w:val="32"/>
          <w:szCs w:val="32"/>
          <w:lang w:val="en-US" w:eastAsia="zh-CN"/>
          <w14:textFill>
            <w14:solidFill>
              <w14:schemeClr w14:val="tx1"/>
            </w14:solidFill>
          </w14:textFill>
        </w:rPr>
        <w:t>支出203.97万</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元，比本年预算</w:t>
      </w:r>
      <w:r>
        <w:rPr>
          <w:rFonts w:hint="eastAsia" w:ascii="仿宋_GB2312" w:hAnsi="仿宋_GB2312" w:cs="仿宋_GB2312"/>
          <w:color w:val="000000" w:themeColor="text1"/>
          <w:kern w:val="0"/>
          <w:sz w:val="32"/>
          <w:szCs w:val="32"/>
          <w:lang w:val="en-US" w:eastAsia="zh-CN"/>
          <w14:textFill>
            <w14:solidFill>
              <w14:schemeClr w14:val="tx1"/>
            </w14:solidFill>
          </w14:textFill>
        </w:rPr>
        <w:t>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143.64万元增加</w:t>
      </w:r>
      <w:r>
        <w:rPr>
          <w:rFonts w:hint="eastAsia" w:ascii="仿宋_GB2312" w:hAnsi="仿宋_GB2312" w:cs="仿宋_GB2312"/>
          <w:color w:val="000000" w:themeColor="text1"/>
          <w:kern w:val="0"/>
          <w:sz w:val="32"/>
          <w:szCs w:val="32"/>
          <w:lang w:val="en-US" w:eastAsia="zh-CN"/>
          <w14:textFill>
            <w14:solidFill>
              <w14:schemeClr w14:val="tx1"/>
            </w14:solidFill>
          </w14:textFill>
        </w:rPr>
        <w:t>60.33</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万元，增加主要原因是本年发放绩效考核奖未纳入预算。其他扶贫支出</w:t>
      </w:r>
      <w:r>
        <w:rPr>
          <w:rFonts w:hint="eastAsia" w:ascii="仿宋_GB2312" w:hAnsi="仿宋_GB2312" w:cs="仿宋_GB2312"/>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2130599</w:t>
      </w:r>
      <w:r>
        <w:rPr>
          <w:rFonts w:hint="eastAsia" w:ascii="仿宋_GB2312" w:hAnsi="仿宋_GB2312" w:cs="仿宋_GB2312"/>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本年决算</w:t>
      </w:r>
      <w:r>
        <w:rPr>
          <w:rFonts w:hint="eastAsia" w:ascii="仿宋_GB2312" w:hAnsi="仿宋_GB2312" w:cs="仿宋_GB2312"/>
          <w:color w:val="000000" w:themeColor="text1"/>
          <w:kern w:val="0"/>
          <w:sz w:val="32"/>
          <w:szCs w:val="32"/>
          <w:lang w:val="en-US" w:eastAsia="zh-CN"/>
          <w14:textFill>
            <w14:solidFill>
              <w14:schemeClr w14:val="tx1"/>
            </w14:solidFill>
          </w14:textFill>
        </w:rPr>
        <w:t>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60万元，比本年预算</w:t>
      </w:r>
      <w:r>
        <w:rPr>
          <w:rFonts w:hint="eastAsia" w:ascii="仿宋_GB2312" w:hAnsi="仿宋_GB2312" w:cs="仿宋_GB2312"/>
          <w:color w:val="000000" w:themeColor="text1"/>
          <w:kern w:val="0"/>
          <w:sz w:val="32"/>
          <w:szCs w:val="32"/>
          <w:lang w:val="en-US" w:eastAsia="zh-CN"/>
          <w14:textFill>
            <w14:solidFill>
              <w14:schemeClr w14:val="tx1"/>
            </w14:solidFill>
          </w14:textFill>
        </w:rPr>
        <w:t>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增加60万元，增加主要原因是此项目支出未纳入本年预算</w:t>
      </w:r>
      <w:r>
        <w:rPr>
          <w:rFonts w:hint="eastAsia" w:ascii="仿宋_GB2312" w:hAnsi="仿宋_GB2312" w:cs="仿宋_GB2312"/>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其它就业补助支出2080799本年决算支出299.90万元，比本年预算</w:t>
      </w:r>
      <w:r>
        <w:rPr>
          <w:rFonts w:hint="eastAsia" w:ascii="仿宋_GB2312" w:hAnsi="仿宋_GB2312" w:cs="仿宋_GB2312"/>
          <w:color w:val="000000" w:themeColor="text1"/>
          <w:kern w:val="0"/>
          <w:sz w:val="32"/>
          <w:szCs w:val="32"/>
          <w:lang w:val="en-US" w:eastAsia="zh-CN"/>
          <w14:textFill>
            <w14:solidFill>
              <w14:schemeClr w14:val="tx1"/>
            </w14:solidFill>
          </w14:textFill>
        </w:rPr>
        <w:t>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增加299.90万元，增加主要原因是此项目支出未纳入本年预算，以前年度是专户管理。</w:t>
      </w:r>
    </w:p>
    <w:p>
      <w:pPr>
        <w:keepNext w:val="0"/>
        <w:keepLines w:val="0"/>
        <w:pageBreakBefore w:val="0"/>
        <w:kinsoku/>
        <w:wordWrap/>
        <w:overflowPunct/>
        <w:topLinePunct w:val="0"/>
        <w:autoSpaceDE/>
        <w:autoSpaceDN/>
        <w:bidi w:val="0"/>
        <w:snapToGrid w:val="0"/>
        <w:spacing w:line="560" w:lineRule="exact"/>
        <w:ind w:firstLine="642"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本年支出与上年支出的对比分析: </w:t>
      </w:r>
      <w:r>
        <w:rPr>
          <w:rFonts w:hint="eastAsia" w:ascii="仿宋_GB2312" w:hAnsi="仿宋_GB2312" w:eastAsia="仿宋_GB2312" w:cs="仿宋_GB2312"/>
          <w:color w:val="000000" w:themeColor="text1"/>
          <w:sz w:val="32"/>
          <w:szCs w:val="32"/>
          <w14:textFill>
            <w14:solidFill>
              <w14:schemeClr w14:val="tx1"/>
            </w14:solidFill>
          </w14:textFill>
        </w:rPr>
        <w:t>本年度实际支出</w:t>
      </w:r>
      <w:r>
        <w:rPr>
          <w:rFonts w:hint="eastAsia" w:ascii="仿宋_GB2312" w:hAnsi="仿宋_GB2312" w:cs="仿宋_GB2312"/>
          <w:color w:val="000000" w:themeColor="text1"/>
          <w:sz w:val="32"/>
          <w:szCs w:val="32"/>
          <w:lang w:val="en-US" w:eastAsia="zh-CN"/>
          <w14:textFill>
            <w14:solidFill>
              <w14:schemeClr w14:val="tx1"/>
            </w14:solidFill>
          </w14:textFill>
        </w:rPr>
        <w:t>623.81</w:t>
      </w:r>
      <w:r>
        <w:rPr>
          <w:rFonts w:hint="eastAsia" w:ascii="仿宋_GB2312" w:hAnsi="仿宋_GB2312" w:eastAsia="仿宋_GB2312" w:cs="仿宋_GB2312"/>
          <w:color w:val="000000" w:themeColor="text1"/>
          <w:sz w:val="32"/>
          <w:szCs w:val="32"/>
          <w14:textFill>
            <w14:solidFill>
              <w14:schemeClr w14:val="tx1"/>
            </w14:solidFill>
          </w14:textFill>
        </w:rPr>
        <w:t>万元比上年度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300.70</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cs="仿宋_GB2312"/>
          <w:color w:val="000000" w:themeColor="text1"/>
          <w:sz w:val="32"/>
          <w:szCs w:val="32"/>
          <w:lang w:eastAsia="zh-CN"/>
          <w14:textFill>
            <w14:solidFill>
              <w14:schemeClr w14:val="tx1"/>
            </w14:solidFill>
          </w14:textFill>
        </w:rPr>
        <w:t>增加</w:t>
      </w:r>
      <w:r>
        <w:rPr>
          <w:rFonts w:hint="eastAsia" w:ascii="仿宋_GB2312" w:hAnsi="仿宋_GB2312" w:cs="仿宋_GB2312"/>
          <w:color w:val="000000" w:themeColor="text1"/>
          <w:sz w:val="32"/>
          <w:szCs w:val="32"/>
          <w:lang w:val="en-US" w:eastAsia="zh-CN"/>
          <w14:textFill>
            <w14:solidFill>
              <w14:schemeClr w14:val="tx1"/>
            </w14:solidFill>
          </w14:textFill>
        </w:rPr>
        <w:t>323.11</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cs="仿宋_GB2312"/>
          <w:color w:val="000000" w:themeColor="text1"/>
          <w:sz w:val="32"/>
          <w:szCs w:val="32"/>
          <w:lang w:eastAsia="zh-CN"/>
          <w14:textFill>
            <w14:solidFill>
              <w14:schemeClr w14:val="tx1"/>
            </w14:solidFill>
          </w14:textFill>
        </w:rPr>
        <w:t>增</w:t>
      </w:r>
      <w:r>
        <w:rPr>
          <w:rFonts w:hint="eastAsia" w:ascii="仿宋_GB2312" w:hAnsi="仿宋_GB2312" w:eastAsia="仿宋_GB2312" w:cs="仿宋_GB2312"/>
          <w:color w:val="000000" w:themeColor="text1"/>
          <w:sz w:val="32"/>
          <w:szCs w:val="32"/>
          <w14:textFill>
            <w14:solidFill>
              <w14:schemeClr w14:val="tx1"/>
            </w14:solidFill>
          </w14:textFill>
        </w:rPr>
        <w:t>幅率</w:t>
      </w:r>
      <w:r>
        <w:rPr>
          <w:rFonts w:hint="eastAsia" w:ascii="仿宋_GB2312" w:hAnsi="仿宋_GB2312" w:cs="仿宋_GB2312"/>
          <w:color w:val="000000" w:themeColor="text1"/>
          <w:sz w:val="32"/>
          <w:szCs w:val="32"/>
          <w:lang w:val="en-US" w:eastAsia="zh-CN"/>
          <w14:textFill>
            <w14:solidFill>
              <w14:schemeClr w14:val="tx1"/>
            </w14:solidFill>
          </w14:textFill>
        </w:rPr>
        <w:t>107.45</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cs="仿宋_GB2312"/>
          <w:color w:val="000000" w:themeColor="text1"/>
          <w:sz w:val="32"/>
          <w:szCs w:val="32"/>
          <w:lang w:eastAsia="zh-CN"/>
          <w14:textFill>
            <w14:solidFill>
              <w14:schemeClr w14:val="tx1"/>
            </w14:solidFill>
          </w14:textFill>
        </w:rPr>
        <w:t>增加</w:t>
      </w:r>
      <w:r>
        <w:rPr>
          <w:rFonts w:hint="eastAsia" w:ascii="仿宋_GB2312" w:hAnsi="仿宋_GB2312" w:eastAsia="仿宋_GB2312" w:cs="仿宋_GB2312"/>
          <w:color w:val="000000" w:themeColor="text1"/>
          <w:sz w:val="32"/>
          <w:szCs w:val="32"/>
          <w14:textFill>
            <w14:solidFill>
              <w14:schemeClr w14:val="tx1"/>
            </w14:solidFill>
          </w14:textFill>
        </w:rPr>
        <w:t>主要原因是本年项目支出比去年</w:t>
      </w:r>
      <w:r>
        <w:rPr>
          <w:rFonts w:hint="eastAsia" w:ascii="仿宋_GB2312" w:hAnsi="仿宋_GB2312" w:cs="仿宋_GB2312"/>
          <w:color w:val="000000" w:themeColor="text1"/>
          <w:sz w:val="32"/>
          <w:szCs w:val="32"/>
          <w:lang w:eastAsia="zh-CN"/>
          <w14:textFill>
            <w14:solidFill>
              <w14:schemeClr w14:val="tx1"/>
            </w14:solidFill>
          </w14:textFill>
        </w:rPr>
        <w:t>增加</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autoSpaceDE/>
        <w:autoSpaceDN/>
        <w:bidi w:val="0"/>
        <w:snapToGrid w:val="0"/>
        <w:spacing w:line="560" w:lineRule="exact"/>
        <w:ind w:firstLine="63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3.本年支出结构分析: </w:t>
      </w:r>
      <w:r>
        <w:rPr>
          <w:rFonts w:hint="eastAsia" w:ascii="仿宋_GB2312" w:hAnsi="仿宋_GB2312" w:eastAsia="仿宋_GB2312" w:cs="仿宋_GB2312"/>
          <w:color w:val="000000" w:themeColor="text1"/>
          <w:sz w:val="32"/>
          <w:szCs w:val="32"/>
          <w14:textFill>
            <w14:solidFill>
              <w14:schemeClr w14:val="tx1"/>
            </w14:solidFill>
          </w14:textFill>
        </w:rPr>
        <w:t>本年支出</w:t>
      </w:r>
      <w:r>
        <w:rPr>
          <w:rFonts w:hint="eastAsia" w:ascii="仿宋_GB2312" w:hAnsi="仿宋_GB2312" w:cs="仿宋_GB2312"/>
          <w:color w:val="000000" w:themeColor="text1"/>
          <w:sz w:val="32"/>
          <w:szCs w:val="32"/>
          <w:lang w:val="en-US" w:eastAsia="zh-CN"/>
          <w14:textFill>
            <w14:solidFill>
              <w14:schemeClr w14:val="tx1"/>
            </w14:solidFill>
          </w14:textFill>
        </w:rPr>
        <w:t>623.81</w:t>
      </w:r>
      <w:r>
        <w:rPr>
          <w:rFonts w:hint="eastAsia" w:ascii="仿宋_GB2312" w:hAnsi="仿宋_GB2312" w:eastAsia="仿宋_GB2312" w:cs="仿宋_GB2312"/>
          <w:color w:val="000000" w:themeColor="text1"/>
          <w:sz w:val="32"/>
          <w:szCs w:val="32"/>
          <w14:textFill>
            <w14:solidFill>
              <w14:schemeClr w14:val="tx1"/>
            </w14:solidFill>
          </w14:textFill>
        </w:rPr>
        <w:t>万元，按资金来源分析：其中财政拨款支出</w:t>
      </w:r>
      <w:r>
        <w:rPr>
          <w:rFonts w:hint="eastAsia" w:ascii="仿宋_GB2312" w:hAnsi="仿宋_GB2312" w:cs="仿宋_GB2312"/>
          <w:color w:val="000000" w:themeColor="text1"/>
          <w:sz w:val="32"/>
          <w:szCs w:val="32"/>
          <w:lang w:val="en-US" w:eastAsia="zh-CN"/>
          <w14:textFill>
            <w14:solidFill>
              <w14:schemeClr w14:val="tx1"/>
            </w14:solidFill>
          </w14:textFill>
        </w:rPr>
        <w:t>623.81</w:t>
      </w:r>
      <w:r>
        <w:rPr>
          <w:rFonts w:hint="eastAsia" w:ascii="仿宋_GB2312" w:hAnsi="仿宋_GB2312" w:eastAsia="仿宋_GB2312" w:cs="仿宋_GB2312"/>
          <w:color w:val="000000" w:themeColor="text1"/>
          <w:sz w:val="32"/>
          <w:szCs w:val="32"/>
          <w14:textFill>
            <w14:solidFill>
              <w14:schemeClr w14:val="tx1"/>
            </w14:solidFill>
          </w14:textFill>
        </w:rPr>
        <w:t>万元，占本年总支出的100%，按支出性质分析：基本支出</w:t>
      </w:r>
      <w:r>
        <w:rPr>
          <w:rFonts w:hint="eastAsia" w:ascii="仿宋" w:hAnsi="仿宋" w:eastAsia="仿宋" w:cs="仿宋"/>
          <w:color w:val="000000" w:themeColor="text1"/>
          <w:kern w:val="0"/>
          <w:sz w:val="32"/>
          <w:szCs w:val="32"/>
          <w:shd w:val="clear" w:color="auto" w:fill="FFFFFF"/>
          <w:lang w:val="en-US" w:eastAsia="zh-CN" w:bidi="ar"/>
          <w14:textFill>
            <w14:solidFill>
              <w14:schemeClr w14:val="tx1"/>
            </w14:solidFill>
          </w14:textFill>
        </w:rPr>
        <w:t>263.91</w:t>
      </w:r>
      <w:r>
        <w:rPr>
          <w:rFonts w:hint="eastAsia" w:ascii="仿宋_GB2312" w:hAnsi="仿宋_GB2312" w:eastAsia="仿宋_GB2312" w:cs="仿宋_GB2312"/>
          <w:color w:val="000000" w:themeColor="text1"/>
          <w:sz w:val="32"/>
          <w:szCs w:val="32"/>
          <w14:textFill>
            <w14:solidFill>
              <w14:schemeClr w14:val="tx1"/>
            </w14:solidFill>
          </w14:textFill>
        </w:rPr>
        <w:t>万元，占本年总支出的</w:t>
      </w:r>
      <w:r>
        <w:rPr>
          <w:rFonts w:hint="eastAsia" w:ascii="仿宋_GB2312" w:hAnsi="仿宋_GB2312" w:cs="仿宋_GB2312"/>
          <w:color w:val="000000" w:themeColor="text1"/>
          <w:sz w:val="32"/>
          <w:szCs w:val="32"/>
          <w:lang w:val="en-US" w:eastAsia="zh-CN"/>
          <w14:textFill>
            <w14:solidFill>
              <w14:schemeClr w14:val="tx1"/>
            </w14:solidFill>
          </w14:textFill>
        </w:rPr>
        <w:t>42.31</w:t>
      </w:r>
      <w:r>
        <w:rPr>
          <w:rFonts w:hint="eastAsia" w:ascii="仿宋_GB2312" w:hAnsi="仿宋_GB2312" w:eastAsia="仿宋_GB2312" w:cs="仿宋_GB2312"/>
          <w:color w:val="000000" w:themeColor="text1"/>
          <w:sz w:val="32"/>
          <w:szCs w:val="32"/>
          <w14:textFill>
            <w14:solidFill>
              <w14:schemeClr w14:val="tx1"/>
            </w14:solidFill>
          </w14:textFill>
        </w:rPr>
        <w:t>%，项目支出</w:t>
      </w:r>
      <w:r>
        <w:rPr>
          <w:rFonts w:hint="eastAsia" w:ascii="仿宋_GB2312" w:hAnsi="仿宋_GB2312" w:cs="仿宋_GB2312"/>
          <w:color w:val="000000" w:themeColor="text1"/>
          <w:sz w:val="32"/>
          <w:szCs w:val="32"/>
          <w:lang w:val="en-US" w:eastAsia="zh-CN"/>
          <w14:textFill>
            <w14:solidFill>
              <w14:schemeClr w14:val="tx1"/>
            </w14:solidFill>
          </w14:textFill>
        </w:rPr>
        <w:t>359.90</w:t>
      </w:r>
      <w:r>
        <w:rPr>
          <w:rFonts w:hint="eastAsia" w:ascii="仿宋_GB2312" w:hAnsi="仿宋_GB2312" w:eastAsia="仿宋_GB2312" w:cs="仿宋_GB2312"/>
          <w:color w:val="000000" w:themeColor="text1"/>
          <w:sz w:val="32"/>
          <w:szCs w:val="32"/>
          <w14:textFill>
            <w14:solidFill>
              <w14:schemeClr w14:val="tx1"/>
            </w14:solidFill>
          </w14:textFill>
        </w:rPr>
        <w:t>万元，占本年总支出的</w:t>
      </w:r>
      <w:r>
        <w:rPr>
          <w:rFonts w:hint="eastAsia" w:ascii="仿宋_GB2312" w:hAnsi="仿宋_GB2312" w:cs="仿宋_GB2312"/>
          <w:color w:val="000000" w:themeColor="text1"/>
          <w:sz w:val="32"/>
          <w:szCs w:val="32"/>
          <w:lang w:val="en-US" w:eastAsia="zh-CN"/>
          <w14:textFill>
            <w14:solidFill>
              <w14:schemeClr w14:val="tx1"/>
            </w14:solidFill>
          </w14:textFill>
        </w:rPr>
        <w:t>57.69</w:t>
      </w:r>
      <w:r>
        <w:rPr>
          <w:rFonts w:hint="eastAsia" w:ascii="仿宋_GB2312" w:hAnsi="仿宋_GB2312" w:eastAsia="仿宋_GB2312" w:cs="仿宋_GB2312"/>
          <w:color w:val="000000" w:themeColor="text1"/>
          <w:sz w:val="32"/>
          <w:szCs w:val="32"/>
          <w14:textFill>
            <w14:solidFill>
              <w14:schemeClr w14:val="tx1"/>
            </w14:solidFill>
          </w14:textFill>
        </w:rPr>
        <w:t>%；按支出经济分类：</w:t>
      </w:r>
      <w:r>
        <w:rPr>
          <w:rFonts w:hint="eastAsia" w:ascii="仿宋" w:hAnsi="仿宋" w:eastAsia="仿宋" w:cs="仿宋"/>
          <w:color w:val="000000" w:themeColor="text1"/>
          <w:kern w:val="0"/>
          <w:sz w:val="32"/>
          <w:szCs w:val="32"/>
          <w:shd w:val="clear" w:color="auto" w:fill="FFFFFF"/>
          <w:lang w:val="en-US" w:eastAsia="zh-CN" w:bidi="ar"/>
          <w14:textFill>
            <w14:solidFill>
              <w14:schemeClr w14:val="tx1"/>
            </w14:solidFill>
          </w14:textFill>
        </w:rPr>
        <w:t xml:space="preserve">工资福利支出235.77万元，占本年支出37.80%，商品和服务支出70.46万元，占本年支出11.30%，对个人和家庭的补助317.58万元，占本年支出50.90%。 </w:t>
      </w:r>
    </w:p>
    <w:p>
      <w:pPr>
        <w:pStyle w:val="12"/>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14:textFill>
            <w14:solidFill>
              <w14:schemeClr w14:val="tx1"/>
            </w14:solidFill>
          </w14:textFill>
        </w:rPr>
        <w:t>“三公”经费预算执行情况:</w:t>
      </w:r>
      <w:r>
        <w:rPr>
          <w:rFonts w:hint="eastAsia" w:ascii="仿宋_GB2312" w:hAnsi="仿宋_GB2312" w:eastAsia="仿宋_GB2312" w:cs="仿宋_GB2312"/>
          <w:color w:val="000000" w:themeColor="text1"/>
          <w:sz w:val="32"/>
          <w:szCs w:val="32"/>
          <w14:textFill>
            <w14:solidFill>
              <w14:schemeClr w14:val="tx1"/>
            </w14:solidFill>
          </w14:textFill>
        </w:rPr>
        <w:t xml:space="preserve"> 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年预算公务接待费0.2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万元,公务用车运行维护费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（因无车编，此费用以项目形式农民工工作经费编制预算）</w:t>
      </w:r>
      <w:r>
        <w:rPr>
          <w:rFonts w:hint="eastAsia" w:ascii="仿宋_GB2312" w:hAnsi="仿宋_GB2312" w:eastAsia="仿宋_GB2312" w:cs="仿宋_GB2312"/>
          <w:color w:val="000000" w:themeColor="text1"/>
          <w:sz w:val="32"/>
          <w:szCs w:val="32"/>
          <w14:textFill>
            <w14:solidFill>
              <w14:schemeClr w14:val="tx1"/>
            </w14:solidFill>
          </w14:textFill>
        </w:rPr>
        <w:t>,合计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3.20</w:t>
      </w:r>
      <w:r>
        <w:rPr>
          <w:rFonts w:hint="eastAsia" w:ascii="仿宋_GB2312" w:hAnsi="仿宋_GB2312" w:eastAsia="仿宋_GB2312" w:cs="仿宋_GB2312"/>
          <w:color w:val="000000" w:themeColor="text1"/>
          <w:sz w:val="32"/>
          <w:szCs w:val="32"/>
          <w14:textFill>
            <w14:solidFill>
              <w14:schemeClr w14:val="tx1"/>
            </w14:solidFill>
          </w14:textFill>
        </w:rPr>
        <w:t>万元。年度决算公务接待费0.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14:textFill>
            <w14:solidFill>
              <w14:schemeClr w14:val="tx1"/>
            </w14:solidFill>
          </w14:textFill>
        </w:rPr>
        <w:t>,公务用车运行维护费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2.70</w:t>
      </w:r>
      <w:r>
        <w:rPr>
          <w:rFonts w:hint="eastAsia" w:ascii="仿宋_GB2312" w:hAnsi="仿宋_GB2312" w:eastAsia="仿宋_GB2312" w:cs="仿宋_GB2312"/>
          <w:color w:val="000000" w:themeColor="text1"/>
          <w:sz w:val="32"/>
          <w:szCs w:val="32"/>
          <w14:textFill>
            <w14:solidFill>
              <w14:schemeClr w14:val="tx1"/>
            </w14:solidFill>
          </w14:textFill>
        </w:rPr>
        <w:t>万元,合计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2.86</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本年</w:t>
      </w:r>
      <w:r>
        <w:rPr>
          <w:rFonts w:hint="eastAsia" w:ascii="仿宋_GB2312" w:hAnsi="仿宋_GB2312" w:eastAsia="仿宋_GB2312" w:cs="仿宋_GB2312"/>
          <w:color w:val="000000" w:themeColor="text1"/>
          <w:sz w:val="32"/>
          <w:szCs w:val="32"/>
          <w14:textFill>
            <w14:solidFill>
              <w14:schemeClr w14:val="tx1"/>
            </w14:solidFill>
          </w14:textFill>
        </w:rPr>
        <w:t>“三公”</w:t>
      </w:r>
      <w:r>
        <w:rPr>
          <w:rFonts w:hint="eastAsia" w:ascii="仿宋_GB2312" w:hAnsi="仿宋_GB2312" w:eastAsia="仿宋_GB2312" w:cs="仿宋_GB2312"/>
          <w:color w:val="000000" w:themeColor="text1"/>
          <w:sz w:val="32"/>
          <w:szCs w:val="32"/>
          <w:lang w:eastAsia="zh-CN"/>
          <w14:textFill>
            <w14:solidFill>
              <w14:schemeClr w14:val="tx1"/>
            </w14:solidFill>
          </w14:textFill>
        </w:rPr>
        <w:t>经费比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2021年4.61万元减少1.75万元，减幅率38.01%。</w:t>
      </w:r>
      <w:r>
        <w:rPr>
          <w:rStyle w:val="25"/>
          <w:rFonts w:hint="eastAsia" w:ascii="仿宋" w:hAnsi="仿宋" w:eastAsia="仿宋" w:cs="仿宋"/>
          <w:b/>
          <w:bCs/>
          <w:color w:val="000000" w:themeColor="text1"/>
          <w:sz w:val="32"/>
          <w:szCs w:val="32"/>
          <w:shd w:val="clear" w:color="auto" w:fill="FFFFFF"/>
          <w:lang w:val="en-US" w:eastAsia="zh-CN" w:bidi="ar"/>
          <w14:textFill>
            <w14:solidFill>
              <w14:schemeClr w14:val="tx1"/>
            </w14:solidFill>
          </w14:textFill>
        </w:rPr>
        <w:t>主要原因为</w:t>
      </w:r>
      <w:r>
        <w:rPr>
          <w:rStyle w:val="25"/>
          <w:rFonts w:hint="eastAsia" w:ascii="仿宋" w:hAnsi="仿宋" w:eastAsia="仿宋" w:cs="仿宋"/>
          <w:b w:val="0"/>
          <w:bCs w:val="0"/>
          <w:color w:val="000000" w:themeColor="text1"/>
          <w:sz w:val="32"/>
          <w:szCs w:val="32"/>
          <w:shd w:val="clear" w:color="auto" w:fill="FFFFFF"/>
          <w:lang w:val="en-US" w:eastAsia="zh-CN" w:bidi="ar"/>
          <w14:textFill>
            <w14:solidFill>
              <w14:schemeClr w14:val="tx1"/>
            </w14:solidFill>
          </w14:textFill>
        </w:rPr>
        <w:t>单位无车编，预算时核减公务用车运行经费</w:t>
      </w:r>
      <w:r>
        <w:rPr>
          <w:rFonts w:hint="eastAsia" w:ascii="仿宋" w:hAnsi="仿宋" w:eastAsia="仿宋" w:cs="仿宋"/>
          <w:color w:val="000000" w:themeColor="text1"/>
          <w:kern w:val="0"/>
          <w:sz w:val="32"/>
          <w:szCs w:val="32"/>
          <w:shd w:val="clear" w:color="auto" w:fill="FFFFFF"/>
          <w:lang w:val="en-US" w:eastAsia="zh-CN" w:bidi="ar"/>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黑体" w:hAnsi="黑体" w:eastAsia="黑体" w:cs="黑体"/>
          <w:color w:val="000000" w:themeColor="text1"/>
          <w:kern w:val="0"/>
          <w:sz w:val="32"/>
          <w:szCs w:val="32"/>
          <w:shd w:val="clear" w:color="auto" w:fill="FFFFFF"/>
          <w14:textFill>
            <w14:solidFill>
              <w14:schemeClr w14:val="tx1"/>
            </w14:solidFill>
          </w14:textFill>
        </w:rPr>
        <w:t>三、部门整体预算绩效管理情况</w:t>
      </w:r>
    </w:p>
    <w:p>
      <w:pPr>
        <w:keepNext w:val="0"/>
        <w:keepLines w:val="0"/>
        <w:pageBreakBefore w:val="0"/>
        <w:kinsoku/>
        <w:wordWrap/>
        <w:overflowPunct/>
        <w:topLinePunct w:val="0"/>
        <w:autoSpaceDE/>
        <w:autoSpaceDN/>
        <w:bidi w:val="0"/>
        <w:snapToGrid w:val="0"/>
        <w:spacing w:line="560" w:lineRule="exact"/>
        <w:ind w:firstLine="642" w:firstLineChars="200"/>
        <w:jc w:val="both"/>
        <w:textAlignment w:val="auto"/>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w:t>
      </w:r>
      <w:r>
        <w:rPr>
          <w:rFonts w:hint="eastAsia" w:ascii="楷体_GB2312" w:hAnsi="楷体_GB2312" w:eastAsia="楷体_GB2312" w:cs="楷体_GB2312"/>
          <w:b/>
          <w:color w:val="000000" w:themeColor="text1"/>
          <w:sz w:val="32"/>
          <w:szCs w:val="32"/>
          <w:lang w:eastAsia="zh-CN"/>
          <w14:textFill>
            <w14:solidFill>
              <w14:schemeClr w14:val="tx1"/>
            </w14:solidFill>
          </w14:textFill>
        </w:rPr>
        <w:t>一</w:t>
      </w:r>
      <w:r>
        <w:rPr>
          <w:rFonts w:hint="eastAsia" w:ascii="楷体_GB2312" w:hAnsi="楷体_GB2312" w:eastAsia="楷体_GB2312" w:cs="楷体_GB2312"/>
          <w:b/>
          <w:color w:val="000000" w:themeColor="text1"/>
          <w:sz w:val="32"/>
          <w:szCs w:val="32"/>
          <w14:textFill>
            <w14:solidFill>
              <w14:schemeClr w14:val="tx1"/>
            </w14:solidFill>
          </w14:textFill>
        </w:rPr>
        <w:t>）预算</w:t>
      </w:r>
      <w:r>
        <w:rPr>
          <w:rFonts w:hint="eastAsia" w:ascii="楷体_GB2312" w:hAnsi="楷体_GB2312" w:eastAsia="楷体_GB2312" w:cs="楷体_GB2312"/>
          <w:b/>
          <w:color w:val="000000" w:themeColor="text1"/>
          <w:sz w:val="32"/>
          <w:szCs w:val="32"/>
          <w:lang w:eastAsia="zh-CN"/>
          <w14:textFill>
            <w14:solidFill>
              <w14:schemeClr w14:val="tx1"/>
            </w14:solidFill>
          </w14:textFill>
        </w:rPr>
        <w:t>编制情况</w:t>
      </w: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本年本单位部门整体绩效目标是：贯彻落实党和政府就业方针政策，统筹协调城乡就业，开展各类就业培训和职业介绍，经办失业保险，实施就业援助等工作。绩效目标编制要素完整，绩效指标做到了细化量化，按照本单位近三年实际情况科学准确的编制预算。</w:t>
      </w: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w:t>
      </w:r>
      <w:r>
        <w:rPr>
          <w:rFonts w:hint="eastAsia" w:ascii="仿宋_GB2312" w:hAnsi="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年整体目标完成情况较好。</w:t>
      </w:r>
      <w:r>
        <w:rPr>
          <w:rFonts w:hint="eastAsia" w:ascii="仿宋_GB2312" w:hAnsi="仿宋_GB2312" w:eastAsia="仿宋_GB2312" w:cs="仿宋_GB2312"/>
          <w:color w:val="000000" w:themeColor="text1"/>
          <w:sz w:val="32"/>
          <w:szCs w:val="32"/>
          <w14:textFill>
            <w14:solidFill>
              <w14:schemeClr w14:val="tx1"/>
            </w14:solidFill>
          </w14:textFill>
        </w:rPr>
        <w:t>按时完成预算编制并提交</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预算草案。预算编制中，特别注意对预算编制准确性的把握，并严格按照要求进行预算执行。</w:t>
      </w:r>
    </w:p>
    <w:p>
      <w:pPr>
        <w:keepNext w:val="0"/>
        <w:keepLines w:val="0"/>
        <w:pageBreakBefore w:val="0"/>
        <w:kinsoku/>
        <w:wordWrap/>
        <w:overflowPunct/>
        <w:topLinePunct w:val="0"/>
        <w:autoSpaceDE/>
        <w:autoSpaceDN/>
        <w:bidi w:val="0"/>
        <w:snapToGrid w:val="0"/>
        <w:spacing w:line="560" w:lineRule="exact"/>
        <w:ind w:firstLine="642" w:firstLineChars="200"/>
        <w:jc w:val="both"/>
        <w:textAlignment w:val="auto"/>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lang w:val="zh-CN"/>
          <w14:textFill>
            <w14:solidFill>
              <w14:schemeClr w14:val="tx1"/>
            </w14:solidFill>
          </w14:textFill>
        </w:rPr>
        <w:t>（</w:t>
      </w:r>
      <w:r>
        <w:rPr>
          <w:rFonts w:hint="eastAsia" w:ascii="楷体_GB2312" w:hAnsi="楷体_GB2312" w:eastAsia="楷体_GB2312" w:cs="楷体_GB2312"/>
          <w:b/>
          <w:color w:val="000000" w:themeColor="text1"/>
          <w:sz w:val="32"/>
          <w:szCs w:val="32"/>
          <w14:textFill>
            <w14:solidFill>
              <w14:schemeClr w14:val="tx1"/>
            </w14:solidFill>
          </w14:textFill>
        </w:rPr>
        <w:t>二）执行管理情况</w:t>
      </w:r>
    </w:p>
    <w:p>
      <w:pPr>
        <w:pStyle w:val="12"/>
        <w:keepNext w:val="0"/>
        <w:keepLines w:val="0"/>
        <w:pageBreakBefore w:val="0"/>
        <w:shd w:val="clear" w:color="auto" w:fill="FFFFFF"/>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严格执行“厉行节约、反对浪费”的规定，严格控制“三公”经费支出，加强公务用车管理。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本年</w:t>
      </w:r>
      <w:r>
        <w:rPr>
          <w:rFonts w:hint="eastAsia" w:ascii="仿宋_GB2312" w:hAnsi="仿宋_GB2312" w:eastAsia="仿宋_GB2312" w:cs="仿宋_GB2312"/>
          <w:color w:val="000000" w:themeColor="text1"/>
          <w:sz w:val="32"/>
          <w:szCs w:val="32"/>
          <w14:textFill>
            <w14:solidFill>
              <w14:schemeClr w14:val="tx1"/>
            </w14:solidFill>
          </w14:textFill>
        </w:rPr>
        <w:t>“三公”</w:t>
      </w:r>
      <w:r>
        <w:rPr>
          <w:rFonts w:hint="eastAsia" w:ascii="仿宋_GB2312" w:hAnsi="仿宋_GB2312" w:eastAsia="仿宋_GB2312" w:cs="仿宋_GB2312"/>
          <w:color w:val="000000" w:themeColor="text1"/>
          <w:sz w:val="32"/>
          <w:szCs w:val="32"/>
          <w:lang w:eastAsia="zh-CN"/>
          <w14:textFill>
            <w14:solidFill>
              <w14:schemeClr w14:val="tx1"/>
            </w14:solidFill>
          </w14:textFill>
        </w:rPr>
        <w:t>经费合计使用了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2.86</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2021年减少1.75万元，减幅率38.01%。</w:t>
      </w:r>
    </w:p>
    <w:p>
      <w:pPr>
        <w:pStyle w:val="12"/>
        <w:keepNext w:val="0"/>
        <w:keepLines w:val="0"/>
        <w:pageBreakBefore w:val="0"/>
        <w:shd w:val="clear" w:color="auto" w:fill="FFFFFF"/>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1</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b/>
          <w:color w:val="000000" w:themeColor="text1"/>
          <w:sz w:val="32"/>
          <w:szCs w:val="32"/>
          <w14:textFill>
            <w14:solidFill>
              <w14:schemeClr w14:val="tx1"/>
            </w14:solidFill>
          </w14:textFill>
        </w:rPr>
        <w:t>年执行情况分析</w:t>
      </w:r>
    </w:p>
    <w:p>
      <w:pPr>
        <w:pStyle w:val="12"/>
        <w:keepNext w:val="0"/>
        <w:keepLines w:val="0"/>
        <w:pageBreakBefore w:val="0"/>
        <w:shd w:val="clear" w:color="auto" w:fill="FFFFFF"/>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（1）基本情况分析：</w:t>
      </w:r>
    </w:p>
    <w:p>
      <w:pPr>
        <w:keepNext w:val="0"/>
        <w:keepLines w:val="0"/>
        <w:pageBreakBefore w:val="0"/>
        <w:kinsoku/>
        <w:wordWrap/>
        <w:overflowPunct/>
        <w:topLinePunct w:val="0"/>
        <w:autoSpaceDE/>
        <w:autoSpaceDN/>
        <w:bidi w:val="0"/>
        <w:snapToGrid w:val="0"/>
        <w:spacing w:line="560" w:lineRule="exact"/>
        <w:ind w:firstLine="63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年本年支出</w:t>
      </w:r>
      <w:r>
        <w:rPr>
          <w:rFonts w:hint="eastAsia" w:ascii="仿宋_GB2312" w:hAnsi="仿宋_GB2312" w:cs="仿宋_GB2312"/>
          <w:color w:val="000000" w:themeColor="text1"/>
          <w:sz w:val="32"/>
          <w:szCs w:val="32"/>
          <w:lang w:val="en-US" w:eastAsia="zh-CN"/>
          <w14:textFill>
            <w14:solidFill>
              <w14:schemeClr w14:val="tx1"/>
            </w14:solidFill>
          </w14:textFill>
        </w:rPr>
        <w:t>623.81</w:t>
      </w:r>
      <w:r>
        <w:rPr>
          <w:rFonts w:hint="eastAsia" w:ascii="仿宋_GB2312" w:hAnsi="仿宋_GB2312" w:eastAsia="仿宋_GB2312" w:cs="仿宋_GB2312"/>
          <w:color w:val="000000" w:themeColor="text1"/>
          <w:sz w:val="32"/>
          <w:szCs w:val="32"/>
          <w14:textFill>
            <w14:solidFill>
              <w14:schemeClr w14:val="tx1"/>
            </w14:solidFill>
          </w14:textFill>
        </w:rPr>
        <w:t>万元，按资金来源分析：其中财政拨款支出</w:t>
      </w:r>
      <w:r>
        <w:rPr>
          <w:rFonts w:hint="eastAsia" w:ascii="仿宋_GB2312" w:hAnsi="仿宋_GB2312" w:cs="仿宋_GB2312"/>
          <w:color w:val="000000" w:themeColor="text1"/>
          <w:sz w:val="32"/>
          <w:szCs w:val="32"/>
          <w:lang w:val="en-US" w:eastAsia="zh-CN"/>
          <w14:textFill>
            <w14:solidFill>
              <w14:schemeClr w14:val="tx1"/>
            </w14:solidFill>
          </w14:textFill>
        </w:rPr>
        <w:t>623.81</w:t>
      </w:r>
      <w:r>
        <w:rPr>
          <w:rFonts w:hint="eastAsia" w:ascii="仿宋_GB2312" w:hAnsi="仿宋_GB2312" w:eastAsia="仿宋_GB2312" w:cs="仿宋_GB2312"/>
          <w:color w:val="000000" w:themeColor="text1"/>
          <w:sz w:val="32"/>
          <w:szCs w:val="32"/>
          <w14:textFill>
            <w14:solidFill>
              <w14:schemeClr w14:val="tx1"/>
            </w14:solidFill>
          </w14:textFill>
        </w:rPr>
        <w:t>万元，占本年总支出的100%，按支出性质分析：基本支出</w:t>
      </w:r>
      <w:r>
        <w:rPr>
          <w:rFonts w:hint="eastAsia" w:ascii="仿宋" w:hAnsi="仿宋" w:eastAsia="仿宋" w:cs="仿宋"/>
          <w:color w:val="000000" w:themeColor="text1"/>
          <w:kern w:val="0"/>
          <w:sz w:val="32"/>
          <w:szCs w:val="32"/>
          <w:shd w:val="clear" w:color="auto" w:fill="FFFFFF"/>
          <w:lang w:val="en-US" w:eastAsia="zh-CN" w:bidi="ar"/>
          <w14:textFill>
            <w14:solidFill>
              <w14:schemeClr w14:val="tx1"/>
            </w14:solidFill>
          </w14:textFill>
        </w:rPr>
        <w:t>263.91</w:t>
      </w:r>
      <w:r>
        <w:rPr>
          <w:rFonts w:hint="eastAsia" w:ascii="仿宋_GB2312" w:hAnsi="仿宋_GB2312" w:eastAsia="仿宋_GB2312" w:cs="仿宋_GB2312"/>
          <w:color w:val="000000" w:themeColor="text1"/>
          <w:sz w:val="32"/>
          <w:szCs w:val="32"/>
          <w14:textFill>
            <w14:solidFill>
              <w14:schemeClr w14:val="tx1"/>
            </w14:solidFill>
          </w14:textFill>
        </w:rPr>
        <w:t>万元，占本年总支出的</w:t>
      </w:r>
      <w:r>
        <w:rPr>
          <w:rFonts w:hint="eastAsia" w:ascii="仿宋_GB2312" w:hAnsi="仿宋_GB2312" w:cs="仿宋_GB2312"/>
          <w:color w:val="000000" w:themeColor="text1"/>
          <w:sz w:val="32"/>
          <w:szCs w:val="32"/>
          <w:lang w:val="en-US" w:eastAsia="zh-CN"/>
          <w14:textFill>
            <w14:solidFill>
              <w14:schemeClr w14:val="tx1"/>
            </w14:solidFill>
          </w14:textFill>
        </w:rPr>
        <w:t>42.31</w:t>
      </w:r>
      <w:r>
        <w:rPr>
          <w:rFonts w:hint="eastAsia" w:ascii="仿宋_GB2312" w:hAnsi="仿宋_GB2312" w:eastAsia="仿宋_GB2312" w:cs="仿宋_GB2312"/>
          <w:color w:val="000000" w:themeColor="text1"/>
          <w:sz w:val="32"/>
          <w:szCs w:val="32"/>
          <w14:textFill>
            <w14:solidFill>
              <w14:schemeClr w14:val="tx1"/>
            </w14:solidFill>
          </w14:textFill>
        </w:rPr>
        <w:t>%，项目支出</w:t>
      </w:r>
      <w:r>
        <w:rPr>
          <w:rFonts w:hint="eastAsia" w:ascii="仿宋_GB2312" w:hAnsi="仿宋_GB2312" w:cs="仿宋_GB2312"/>
          <w:color w:val="000000" w:themeColor="text1"/>
          <w:sz w:val="32"/>
          <w:szCs w:val="32"/>
          <w:lang w:val="en-US" w:eastAsia="zh-CN"/>
          <w14:textFill>
            <w14:solidFill>
              <w14:schemeClr w14:val="tx1"/>
            </w14:solidFill>
          </w14:textFill>
        </w:rPr>
        <w:t>359.90</w:t>
      </w:r>
      <w:r>
        <w:rPr>
          <w:rFonts w:hint="eastAsia" w:ascii="仿宋_GB2312" w:hAnsi="仿宋_GB2312" w:eastAsia="仿宋_GB2312" w:cs="仿宋_GB2312"/>
          <w:color w:val="000000" w:themeColor="text1"/>
          <w:sz w:val="32"/>
          <w:szCs w:val="32"/>
          <w14:textFill>
            <w14:solidFill>
              <w14:schemeClr w14:val="tx1"/>
            </w14:solidFill>
          </w14:textFill>
        </w:rPr>
        <w:t>万元，占本年总支出的</w:t>
      </w:r>
      <w:r>
        <w:rPr>
          <w:rFonts w:hint="eastAsia" w:ascii="仿宋_GB2312" w:hAnsi="仿宋_GB2312" w:cs="仿宋_GB2312"/>
          <w:color w:val="000000" w:themeColor="text1"/>
          <w:sz w:val="32"/>
          <w:szCs w:val="32"/>
          <w:lang w:val="en-US" w:eastAsia="zh-CN"/>
          <w14:textFill>
            <w14:solidFill>
              <w14:schemeClr w14:val="tx1"/>
            </w14:solidFill>
          </w14:textFill>
        </w:rPr>
        <w:t>57.69</w:t>
      </w:r>
      <w:r>
        <w:rPr>
          <w:rFonts w:hint="eastAsia" w:ascii="仿宋_GB2312" w:hAnsi="仿宋_GB2312" w:eastAsia="仿宋_GB2312" w:cs="仿宋_GB2312"/>
          <w:color w:val="000000" w:themeColor="text1"/>
          <w:sz w:val="32"/>
          <w:szCs w:val="32"/>
          <w14:textFill>
            <w14:solidFill>
              <w14:schemeClr w14:val="tx1"/>
            </w14:solidFill>
          </w14:textFill>
        </w:rPr>
        <w:t>%；按支出经济分类：</w:t>
      </w:r>
      <w:r>
        <w:rPr>
          <w:rFonts w:hint="eastAsia" w:ascii="仿宋" w:hAnsi="仿宋" w:eastAsia="仿宋" w:cs="仿宋"/>
          <w:color w:val="000000" w:themeColor="text1"/>
          <w:kern w:val="0"/>
          <w:sz w:val="32"/>
          <w:szCs w:val="32"/>
          <w:shd w:val="clear" w:color="auto" w:fill="FFFFFF"/>
          <w:lang w:val="en-US" w:eastAsia="zh-CN" w:bidi="ar"/>
          <w14:textFill>
            <w14:solidFill>
              <w14:schemeClr w14:val="tx1"/>
            </w14:solidFill>
          </w14:textFill>
        </w:rPr>
        <w:t xml:space="preserve">工资福利支出235.77万元，占本年支出37.80%，商品和服务支出70.46万元，占本年支出11.30%，对个人和家庭的补助317.58万元，占本年支出50.90%。 </w:t>
      </w:r>
    </w:p>
    <w:p>
      <w:pPr>
        <w:pStyle w:val="12"/>
        <w:keepNext w:val="0"/>
        <w:keepLines w:val="0"/>
        <w:pageBreakBefore w:val="0"/>
        <w:shd w:val="clear" w:color="auto" w:fill="FFFFFF"/>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（2）“三公”经费预算执行情况:</w:t>
      </w:r>
    </w:p>
    <w:p>
      <w:pPr>
        <w:pStyle w:val="12"/>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年预算公务接待费0.2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万元,公务用车运行维护费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万元,合计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3.20</w:t>
      </w:r>
      <w:r>
        <w:rPr>
          <w:rFonts w:hint="eastAsia" w:ascii="仿宋_GB2312" w:hAnsi="仿宋_GB2312" w:eastAsia="仿宋_GB2312" w:cs="仿宋_GB2312"/>
          <w:color w:val="000000" w:themeColor="text1"/>
          <w:sz w:val="32"/>
          <w:szCs w:val="32"/>
          <w14:textFill>
            <w14:solidFill>
              <w14:schemeClr w14:val="tx1"/>
            </w14:solidFill>
          </w14:textFill>
        </w:rPr>
        <w:t>万元。年度决算公务接待费0.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14:textFill>
            <w14:solidFill>
              <w14:schemeClr w14:val="tx1"/>
            </w14:solidFill>
          </w14:textFill>
        </w:rPr>
        <w:t>万元,公务用车运行维护费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2.70</w:t>
      </w:r>
      <w:r>
        <w:rPr>
          <w:rFonts w:hint="eastAsia" w:ascii="仿宋_GB2312" w:hAnsi="仿宋_GB2312" w:eastAsia="仿宋_GB2312" w:cs="仿宋_GB2312"/>
          <w:color w:val="000000" w:themeColor="text1"/>
          <w:sz w:val="32"/>
          <w:szCs w:val="32"/>
          <w14:textFill>
            <w14:solidFill>
              <w14:schemeClr w14:val="tx1"/>
            </w14:solidFill>
          </w14:textFill>
        </w:rPr>
        <w:t>万元,合计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2.86</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12"/>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2" w:firstLineChars="200"/>
        <w:jc w:val="both"/>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综合管理情况 </w:t>
      </w: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在资金管理方面做到正确核算，账务及各类报表公开、准确如实反映，做到信息及时公开等。各项规章制度健全，制度执行严格合规。会计核算符合相关财务管理规定。各项资金均实行专款专用，严格依法依规执行资金支付依据和开支标准,严格执行政府采购制度。</w:t>
      </w: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预算内经费和专项基金实行“收支两条线”管理，设立了专门的出纳和会计人员，在报账处理上严格按照财经纪律制度等要求实施报账制。预算内经费和专项基金我单位按照有关法律法规和财务制度严格执行，经费组织决算及报表的审核、报送与财政部门逐一核对，确保经费预决算的严肃性、准确性。</w:t>
      </w:r>
    </w:p>
    <w:p>
      <w:pPr>
        <w:pStyle w:val="12"/>
        <w:keepNext w:val="0"/>
        <w:keepLines w:val="0"/>
        <w:pageBreakBefore w:val="0"/>
        <w:shd w:val="clear" w:color="auto" w:fill="FFFFFF"/>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14:textFill>
            <w14:solidFill>
              <w14:schemeClr w14:val="tx1"/>
            </w14:solidFill>
          </w14:textFill>
        </w:rPr>
        <w:t>整</w:t>
      </w:r>
      <w:r>
        <w:rPr>
          <w:rFonts w:hint="eastAsia" w:ascii="仿宋_GB2312" w:hAnsi="仿宋_GB2312" w:eastAsia="仿宋_GB2312" w:cs="仿宋_GB2312"/>
          <w:b/>
          <w:color w:val="000000" w:themeColor="text1"/>
          <w:sz w:val="32"/>
          <w:szCs w:val="32"/>
          <w14:textFill>
            <w14:solidFill>
              <w14:schemeClr w14:val="tx1"/>
            </w14:solidFill>
          </w14:textFill>
        </w:rPr>
        <w:t>体绩效</w:t>
      </w:r>
    </w:p>
    <w:p>
      <w:pPr>
        <w:pStyle w:val="12"/>
        <w:keepNext w:val="0"/>
        <w:keepLines w:val="0"/>
        <w:pageBreakBefore w:val="0"/>
        <w:shd w:val="clear" w:color="auto" w:fill="FFFFFF"/>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预算支出在保障本局工作运转、履行职能职责上整体情况良好。一是20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年支出绩效较好，预算编制</w:t>
      </w:r>
      <w:r>
        <w:rPr>
          <w:rFonts w:hint="eastAsia" w:ascii="仿宋_GB2312" w:hAnsi="仿宋_GB2312" w:eastAsia="仿宋_GB2312" w:cs="仿宋_GB2312"/>
          <w:color w:val="000000" w:themeColor="text1"/>
          <w:sz w:val="32"/>
          <w:szCs w:val="32"/>
          <w:lang w:eastAsia="zh-CN"/>
          <w14:textFill>
            <w14:solidFill>
              <w14:schemeClr w14:val="tx1"/>
            </w14:solidFill>
          </w14:textFill>
        </w:rPr>
        <w:t>相对</w:t>
      </w:r>
      <w:r>
        <w:rPr>
          <w:rFonts w:hint="eastAsia" w:ascii="仿宋_GB2312" w:hAnsi="仿宋_GB2312" w:eastAsia="仿宋_GB2312" w:cs="仿宋_GB2312"/>
          <w:color w:val="000000" w:themeColor="text1"/>
          <w:sz w:val="32"/>
          <w:szCs w:val="32"/>
          <w14:textFill>
            <w14:solidFill>
              <w14:schemeClr w14:val="tx1"/>
            </w14:solidFill>
          </w14:textFill>
        </w:rPr>
        <w:t>精</w:t>
      </w:r>
      <w:r>
        <w:rPr>
          <w:rFonts w:hint="eastAsia" w:ascii="仿宋_GB2312" w:hAnsi="仿宋_GB2312" w:eastAsia="仿宋_GB2312" w:cs="仿宋_GB2312"/>
          <w:color w:val="000000" w:themeColor="text1"/>
          <w:sz w:val="32"/>
          <w:szCs w:val="32"/>
          <w:lang w:eastAsia="zh-CN"/>
          <w14:textFill>
            <w14:solidFill>
              <w14:schemeClr w14:val="tx1"/>
            </w14:solidFill>
          </w14:textFill>
        </w:rPr>
        <w:t>准</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科学</w:t>
      </w:r>
      <w:r>
        <w:rPr>
          <w:rFonts w:hint="eastAsia" w:ascii="仿宋_GB2312" w:hAnsi="仿宋_GB2312" w:eastAsia="仿宋_GB2312" w:cs="仿宋_GB2312"/>
          <w:color w:val="000000" w:themeColor="text1"/>
          <w:sz w:val="32"/>
          <w:szCs w:val="32"/>
          <w14:textFill>
            <w14:solidFill>
              <w14:schemeClr w14:val="tx1"/>
            </w14:solidFill>
          </w14:textFill>
        </w:rPr>
        <w:t>合理，经费</w:t>
      </w:r>
      <w:r>
        <w:rPr>
          <w:rFonts w:hint="eastAsia" w:ascii="仿宋_GB2312" w:hAnsi="仿宋_GB2312" w:eastAsia="仿宋_GB2312" w:cs="仿宋_GB2312"/>
          <w:color w:val="000000" w:themeColor="text1"/>
          <w:sz w:val="32"/>
          <w:szCs w:val="32"/>
          <w:lang w:eastAsia="zh-CN"/>
          <w14:textFill>
            <w14:solidFill>
              <w14:schemeClr w14:val="tx1"/>
            </w14:solidFill>
          </w14:textFill>
        </w:rPr>
        <w:t>在</w:t>
      </w:r>
      <w:r>
        <w:rPr>
          <w:rFonts w:hint="eastAsia" w:ascii="仿宋_GB2312" w:hAnsi="仿宋_GB2312" w:eastAsia="仿宋_GB2312" w:cs="仿宋_GB2312"/>
          <w:color w:val="000000" w:themeColor="text1"/>
          <w:sz w:val="32"/>
          <w:szCs w:val="32"/>
          <w14:textFill>
            <w14:solidFill>
              <w14:schemeClr w14:val="tx1"/>
            </w14:solidFill>
          </w14:textFill>
        </w:rPr>
        <w:t>压缩情况下高效运转;二是经费收支有力的推动各股室工作的有效开展，按时按量推动目标任务高效完成；三是经费的支出有力保障了办公设备购置等项目所需，推动了各类就业政策的实行，提高了就业工作的规范化、信息化水平;四是强化机关公用经费及日常运行经费管理，对于各科室日常公用经费按照相关政策进行管理，对于办公日常运行维护费用加强审核力度。</w:t>
      </w:r>
    </w:p>
    <w:p>
      <w:pPr>
        <w:pStyle w:val="7"/>
        <w:keepNext w:val="0"/>
        <w:keepLines w:val="0"/>
        <w:pageBreakBefore w:val="0"/>
        <w:kinsoku/>
        <w:wordWrap/>
        <w:overflowPunct/>
        <w:topLinePunct w:val="0"/>
        <w:autoSpaceDE/>
        <w:autoSpaceDN/>
        <w:bidi w:val="0"/>
        <w:adjustRightInd w:val="0"/>
        <w:snapToGrid w:val="0"/>
        <w:spacing w:beforeLines="0" w:line="560" w:lineRule="exact"/>
        <w:ind w:firstLine="674" w:firstLineChars="210"/>
        <w:jc w:val="both"/>
        <w:textAlignment w:val="auto"/>
        <w:outlineLvl w:val="2"/>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hAnsi="仿宋_GB2312" w:cs="仿宋_GB2312"/>
          <w:b/>
          <w:bCs w:val="0"/>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bCs w:val="0"/>
          <w:color w:val="000000" w:themeColor="text1"/>
          <w:sz w:val="32"/>
          <w:szCs w:val="32"/>
          <w14:textFill>
            <w14:solidFill>
              <w14:schemeClr w14:val="tx1"/>
            </w14:solidFill>
          </w14:textFill>
        </w:rPr>
        <w:t>20</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2</w:t>
      </w:r>
      <w:r>
        <w:rPr>
          <w:rFonts w:hint="eastAsia" w:hAnsi="仿宋_GB2312" w:cs="仿宋_GB2312"/>
          <w:b/>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val="0"/>
          <w:color w:val="000000" w:themeColor="text1"/>
          <w:sz w:val="32"/>
          <w:szCs w:val="32"/>
          <w14:textFill>
            <w14:solidFill>
              <w14:schemeClr w14:val="tx1"/>
            </w14:solidFill>
          </w14:textFill>
        </w:rPr>
        <w:t>年重点工作完成情况</w:t>
      </w:r>
    </w:p>
    <w:p>
      <w:pPr>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截止2022年底，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全县实现城镇新增就业490人，完成目标任务490人的100%；</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失业人员再就业27人，</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完成目标任务25人的108%；就业困难人员就业7人，完成目标任务5人的140%；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城镇登记失业率控制在3.8%以内；新增67名青年就业见习，完成目标任务26人的258%；发放创业担保贷款220万元，完成目标任务200万元的110%；</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开展职业技能培训1087人;</w:t>
      </w:r>
      <w:r>
        <w:rPr>
          <w:rFonts w:hint="eastAsia" w:ascii="仿宋_GB2312" w:hAnsi="仿宋_GB2312" w:eastAsia="仿宋_GB2312" w:cs="仿宋_GB2312"/>
          <w:color w:val="000000" w:themeColor="text1"/>
          <w:sz w:val="32"/>
          <w:szCs w:val="32"/>
          <w14:textFill>
            <w14:solidFill>
              <w14:schemeClr w14:val="tx1"/>
            </w14:solidFill>
          </w14:textFill>
        </w:rPr>
        <w:t>全县参加申报登记失业保险人数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3299</w:t>
      </w:r>
      <w:r>
        <w:rPr>
          <w:rFonts w:hint="eastAsia" w:ascii="仿宋_GB2312" w:hAnsi="仿宋_GB2312" w:eastAsia="仿宋_GB2312" w:cs="仿宋_GB2312"/>
          <w:color w:val="000000" w:themeColor="text1"/>
          <w:sz w:val="32"/>
          <w:szCs w:val="32"/>
          <w14:textFill>
            <w14:solidFill>
              <w14:schemeClr w14:val="tx1"/>
            </w14:solidFill>
          </w14:textFill>
        </w:rPr>
        <w:t>人，征收失业保险金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274.20</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，失业保险基金无违规违纪、挤占、挪用情况</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全县实现劳动力转移就业2.11万人，完成目标任务2.017万人的105%，</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其中境外4人，省外4941人，主要集中在江浙以及北上广一线城市，州外省内9093人，主要集中在成都及周边地区，县外州内2689人，县内4373人（含公益性岗位）。实现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劳务经济收入5.01亿元，完成目标任务5亿元的100%。 </w:t>
      </w: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本年本单位预算绩效实施过程中无违法违规情况。</w:t>
      </w:r>
    </w:p>
    <w:p>
      <w:pPr>
        <w:keepNext w:val="0"/>
        <w:keepLines w:val="0"/>
        <w:pageBreakBefore w:val="0"/>
        <w:numPr>
          <w:ilvl w:val="0"/>
          <w:numId w:val="0"/>
        </w:numPr>
        <w:kinsoku/>
        <w:wordWrap/>
        <w:overflowPunct/>
        <w:topLinePunct w:val="0"/>
        <w:autoSpaceDE/>
        <w:autoSpaceDN/>
        <w:bidi w:val="0"/>
        <w:spacing w:line="560" w:lineRule="exact"/>
        <w:ind w:firstLine="642" w:firstLineChars="200"/>
        <w:jc w:val="both"/>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三</w:t>
      </w:r>
      <w:r>
        <w:rPr>
          <w:rFonts w:hint="eastAsia" w:ascii="楷体_GB2312" w:hAnsi="楷体_GB2312" w:eastAsia="楷体_GB2312" w:cs="楷体_GB2312"/>
          <w:b/>
          <w:bCs/>
          <w:color w:val="000000" w:themeColor="text1"/>
          <w:sz w:val="32"/>
          <w:szCs w:val="32"/>
          <w14:textFill>
            <w14:solidFill>
              <w14:schemeClr w14:val="tx1"/>
            </w14:solidFill>
          </w14:textFill>
        </w:rPr>
        <w:t>）专项预算管理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本单位</w:t>
      </w:r>
      <w:r>
        <w:rPr>
          <w:rFonts w:hint="eastAsia" w:ascii="仿宋_GB2312" w:hAnsi="仿宋_GB2312" w:cs="仿宋_GB2312"/>
          <w:color w:val="000000" w:themeColor="text1"/>
          <w:sz w:val="32"/>
          <w:szCs w:val="32"/>
          <w:lang w:val="en-US" w:eastAsia="zh-CN"/>
          <w14:textFill>
            <w14:solidFill>
              <w14:schemeClr w14:val="tx1"/>
            </w14:solidFill>
          </w14:textFill>
        </w:rPr>
        <w:t>本年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专项预算项目主要</w:t>
      </w:r>
      <w:r>
        <w:rPr>
          <w:rFonts w:hint="eastAsia" w:ascii="仿宋_GB2312" w:hAnsi="仿宋_GB2312" w:cs="仿宋_GB2312"/>
          <w:color w:val="000000" w:themeColor="text1"/>
          <w:sz w:val="32"/>
          <w:szCs w:val="32"/>
          <w:lang w:val="en-US" w:eastAsia="zh-CN"/>
          <w14:textFill>
            <w14:solidFill>
              <w14:schemeClr w14:val="tx1"/>
            </w14:solidFill>
          </w14:textFill>
        </w:rPr>
        <w:t>有2项：一是浙江对口支援资金主要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用于促进就业劳务开发及招聘会，经费纳入商品和服务支出使用</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二是就业创业资金</w:t>
      </w:r>
      <w:r>
        <w:rPr>
          <w:rFonts w:hint="eastAsia" w:ascii="仿宋_GB2312" w:hAnsi="仿宋_GB2312" w:eastAsia="仿宋_GB2312" w:cs="仿宋_GB2312"/>
          <w:color w:val="000000" w:themeColor="text1"/>
          <w:sz w:val="32"/>
          <w:szCs w:val="32"/>
          <w14:textFill>
            <w14:solidFill>
              <w14:schemeClr w14:val="tx1"/>
            </w14:solidFill>
          </w14:textFill>
        </w:rPr>
        <w:t>主要用于</w:t>
      </w:r>
      <w:r>
        <w:rPr>
          <w:rFonts w:hint="eastAsia" w:ascii="仿宋_GB2312" w:hAnsi="仿宋_GB2312" w:eastAsia="仿宋_GB2312" w:cs="仿宋_GB2312"/>
          <w:color w:val="000000" w:themeColor="text1"/>
          <w:sz w:val="32"/>
          <w:szCs w:val="32"/>
          <w:lang w:eastAsia="zh-CN"/>
          <w14:textFill>
            <w14:solidFill>
              <w14:schemeClr w14:val="tx1"/>
            </w14:solidFill>
          </w14:textFill>
        </w:rPr>
        <w:t>就业见习补贴</w:t>
      </w:r>
      <w:r>
        <w:rPr>
          <w:rFonts w:hint="eastAsia" w:ascii="仿宋_GB2312" w:hAnsi="仿宋_GB2312" w:eastAsia="仿宋_GB2312" w:cs="仿宋_GB2312"/>
          <w:color w:val="000000" w:themeColor="text1"/>
          <w:sz w:val="32"/>
          <w:szCs w:val="32"/>
          <w14:textFill>
            <w14:solidFill>
              <w14:schemeClr w14:val="tx1"/>
            </w14:solidFill>
          </w14:textFill>
        </w:rPr>
        <w:t>、公益性岗位补贴、社会保险补贴、职业培训补贴、</w:t>
      </w:r>
      <w:r>
        <w:rPr>
          <w:rFonts w:hint="eastAsia" w:ascii="仿宋_GB2312" w:hAnsi="仿宋_GB2312" w:eastAsia="仿宋_GB2312" w:cs="仿宋_GB2312"/>
          <w:color w:val="000000" w:themeColor="text1"/>
          <w:sz w:val="32"/>
          <w:szCs w:val="32"/>
          <w:lang w:eastAsia="zh-CN"/>
          <w14:textFill>
            <w14:solidFill>
              <w14:schemeClr w14:val="tx1"/>
            </w14:solidFill>
          </w14:textFill>
        </w:rPr>
        <w:t>创业补贴、</w:t>
      </w:r>
      <w:r>
        <w:rPr>
          <w:rFonts w:hint="eastAsia" w:ascii="仿宋_GB2312" w:hAnsi="仿宋_GB2312" w:eastAsia="仿宋_GB2312" w:cs="仿宋_GB2312"/>
          <w:color w:val="000000" w:themeColor="text1"/>
          <w:sz w:val="32"/>
          <w:szCs w:val="32"/>
          <w14:textFill>
            <w14:solidFill>
              <w14:schemeClr w14:val="tx1"/>
            </w14:solidFill>
          </w14:textFill>
        </w:rPr>
        <w:t>培训</w:t>
      </w:r>
      <w:r>
        <w:rPr>
          <w:rFonts w:hint="eastAsia" w:ascii="仿宋_GB2312" w:hAnsi="仿宋_GB2312" w:eastAsia="仿宋_GB2312" w:cs="仿宋_GB2312"/>
          <w:color w:val="000000" w:themeColor="text1"/>
          <w:sz w:val="32"/>
          <w:szCs w:val="32"/>
          <w:lang w:eastAsia="zh-CN"/>
          <w14:textFill>
            <w14:solidFill>
              <w14:schemeClr w14:val="tx1"/>
            </w14:solidFill>
          </w14:textFill>
        </w:rPr>
        <w:t>生活</w:t>
      </w:r>
      <w:r>
        <w:rPr>
          <w:rFonts w:hint="eastAsia" w:ascii="仿宋_GB2312" w:hAnsi="仿宋_GB2312" w:eastAsia="仿宋_GB2312" w:cs="仿宋_GB2312"/>
          <w:color w:val="000000" w:themeColor="text1"/>
          <w:sz w:val="32"/>
          <w:szCs w:val="32"/>
          <w14:textFill>
            <w14:solidFill>
              <w14:schemeClr w14:val="tx1"/>
            </w14:solidFill>
          </w14:textFill>
        </w:rPr>
        <w:t>补贴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其他支出补贴等</w:t>
      </w:r>
      <w:r>
        <w:rPr>
          <w:rFonts w:hint="eastAsia" w:ascii="仿宋_GB2312" w:hAnsi="仿宋_GB2312" w:eastAsia="仿宋_GB2312" w:cs="仿宋_GB2312"/>
          <w:color w:val="000000" w:themeColor="text1"/>
          <w:sz w:val="32"/>
          <w:szCs w:val="32"/>
          <w:lang w:eastAsia="zh-CN"/>
          <w14:textFill>
            <w14:solidFill>
              <w14:schemeClr w14:val="tx1"/>
            </w14:solidFill>
          </w14:textFill>
        </w:rPr>
        <w:t>，经费纳入对个人和家族的补助使用</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项目规划合理，分配科学及时，结果符合工作要求。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本年本单位收到黑财综</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cs="仿宋_GB2312"/>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2号</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黑水财政局关于下达浙江省2022年对口支援黑水县资金的通知项目资金35万元，已全额完成支付，其中办公费4.95万元，生活补贴14.04万元(慰问金：13.74万元，农民工包车务工途中生活补助0.39万元)，其它交通费9.58万元，会议费5.88万元，差旅费（挂职补贴）0.55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收到黑财综</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cs="仿宋_GB2312"/>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5号</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黑水财政局关于下达浙江省2022年对口支援黑水县第二批资金的通知项目资金25万元，已全额完成支付，其中委托业务费25万元，用于黑水县人力资源市场建设。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本年收到就业创业补助直达资金总额为163万元，其中阿州财社[2022]8号中央资金56万元，阿州财社</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cs="仿宋_GB2312"/>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cs="仿宋_GB2312"/>
          <w:color w:val="000000" w:themeColor="text1"/>
          <w:sz w:val="32"/>
          <w:szCs w:val="32"/>
          <w:lang w:val="en-US" w:eastAsia="zh-CN"/>
          <w14:textFill>
            <w14:solidFill>
              <w14:schemeClr w14:val="tx1"/>
            </w14:solidFill>
          </w14:textFill>
        </w:rPr>
        <w:t>38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号</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省</w:t>
      </w:r>
      <w:r>
        <w:rPr>
          <w:rFonts w:hint="eastAsia" w:ascii="仿宋_GB2312" w:hAnsi="仿宋_GB2312" w:cs="仿宋_GB2312"/>
          <w:color w:val="000000" w:themeColor="text1"/>
          <w:sz w:val="32"/>
          <w:szCs w:val="32"/>
          <w:lang w:val="en-US" w:eastAsia="zh-CN"/>
          <w14:textFill>
            <w14:solidFill>
              <w14:schemeClr w14:val="tx1"/>
            </w14:solidFill>
          </w14:textFill>
        </w:rPr>
        <w:t>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资金4万元，阿州财社</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cs="仿宋_GB2312"/>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79号</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中央资金103万元。已全额完成支付，其中生活补贴163万元。就业创业补贴资金2022年共支付299.90万元，其中136.90万元是以前年度结余资金</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专项预算绩效实施过程中无违法违规情况。</w:t>
      </w:r>
    </w:p>
    <w:p>
      <w:pPr>
        <w:keepNext w:val="0"/>
        <w:keepLines w:val="0"/>
        <w:pageBreakBefore w:val="0"/>
        <w:numPr>
          <w:ilvl w:val="0"/>
          <w:numId w:val="1"/>
        </w:numPr>
        <w:kinsoku/>
        <w:wordWrap/>
        <w:overflowPunct/>
        <w:topLinePunct w:val="0"/>
        <w:autoSpaceDE/>
        <w:autoSpaceDN/>
        <w:bidi w:val="0"/>
        <w:spacing w:line="560" w:lineRule="exact"/>
        <w:ind w:firstLine="642" w:firstLineChars="200"/>
        <w:jc w:val="both"/>
        <w:textAlignment w:val="auto"/>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结果应用情况</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本年本单位在执行公务过程中严格执行“厉行节约、反对浪费”的规定，严格控制“三公”经费支出，加强公务用车管理，努力降低燃油费用等公务用车消耗。</w:t>
      </w: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部门预算决算在财政部门批复后及时填报预算公开资料、决</w:t>
      </w:r>
      <w:r>
        <w:rPr>
          <w:rFonts w:hint="eastAsia" w:ascii="仿宋_GB2312" w:hAnsi="仿宋_GB2312" w:eastAsia="仿宋_GB2312" w:cs="仿宋_GB2312"/>
          <w:color w:val="000000" w:themeColor="text1"/>
          <w:sz w:val="32"/>
          <w:szCs w:val="32"/>
          <w:lang w:eastAsia="zh-CN"/>
          <w14:textFill>
            <w14:solidFill>
              <w14:schemeClr w14:val="tx1"/>
            </w14:solidFill>
          </w14:textFill>
        </w:rPr>
        <w:t>算公开资料</w:t>
      </w:r>
      <w:r>
        <w:rPr>
          <w:rFonts w:hint="eastAsia" w:ascii="仿宋_GB2312" w:hAnsi="仿宋_GB2312" w:eastAsia="仿宋_GB2312" w:cs="仿宋_GB2312"/>
          <w:color w:val="000000" w:themeColor="text1"/>
          <w:sz w:val="32"/>
          <w:szCs w:val="32"/>
          <w14:textFill>
            <w14:solidFill>
              <w14:schemeClr w14:val="tx1"/>
            </w14:solidFill>
          </w14:textFill>
        </w:rPr>
        <w:t>报表报财政审核</w:t>
      </w:r>
      <w:r>
        <w:rPr>
          <w:rFonts w:hint="eastAsia" w:ascii="仿宋_GB2312" w:hAnsi="仿宋_GB2312" w:eastAsia="仿宋_GB2312" w:cs="仿宋_GB2312"/>
          <w:color w:val="000000" w:themeColor="text1"/>
          <w:sz w:val="32"/>
          <w:szCs w:val="32"/>
          <w:lang w:eastAsia="zh-CN"/>
          <w14:textFill>
            <w14:solidFill>
              <w14:schemeClr w14:val="tx1"/>
            </w14:solidFill>
          </w14:textFill>
        </w:rPr>
        <w:t>后</w:t>
      </w:r>
      <w:r>
        <w:rPr>
          <w:rFonts w:hint="eastAsia" w:ascii="仿宋_GB2312" w:hAnsi="仿宋_GB2312" w:eastAsia="仿宋_GB2312" w:cs="仿宋_GB2312"/>
          <w:color w:val="000000" w:themeColor="text1"/>
          <w:sz w:val="32"/>
          <w:szCs w:val="32"/>
          <w14:textFill>
            <w14:solidFill>
              <w14:schemeClr w14:val="tx1"/>
            </w14:solidFill>
          </w14:textFill>
        </w:rPr>
        <w:t>在政府信息公开网上</w:t>
      </w:r>
      <w:r>
        <w:rPr>
          <w:rFonts w:hint="eastAsia" w:ascii="仿宋_GB2312" w:hAnsi="仿宋_GB2312" w:eastAsia="仿宋_GB2312" w:cs="仿宋_GB2312"/>
          <w:color w:val="000000" w:themeColor="text1"/>
          <w:sz w:val="32"/>
          <w:szCs w:val="32"/>
          <w:lang w:eastAsia="zh-CN"/>
          <w14:textFill>
            <w14:solidFill>
              <w14:schemeClr w14:val="tx1"/>
            </w14:solidFill>
          </w14:textFill>
        </w:rPr>
        <w:t>双</w:t>
      </w:r>
      <w:r>
        <w:rPr>
          <w:rFonts w:hint="eastAsia" w:ascii="仿宋_GB2312" w:hAnsi="仿宋_GB2312" w:eastAsia="仿宋_GB2312" w:cs="仿宋_GB2312"/>
          <w:color w:val="000000" w:themeColor="text1"/>
          <w:sz w:val="32"/>
          <w:szCs w:val="32"/>
          <w14:textFill>
            <w14:solidFill>
              <w14:schemeClr w14:val="tx1"/>
            </w14:solidFill>
          </w14:textFill>
        </w:rPr>
        <w:t>公示。</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四、评价结论及建议</w:t>
      </w:r>
    </w:p>
    <w:p>
      <w:pPr>
        <w:keepNext w:val="0"/>
        <w:keepLines w:val="0"/>
        <w:pageBreakBefore w:val="0"/>
        <w:numPr>
          <w:ilvl w:val="0"/>
          <w:numId w:val="0"/>
        </w:numPr>
        <w:kinsoku/>
        <w:wordWrap/>
        <w:overflowPunct/>
        <w:topLinePunct w:val="0"/>
        <w:autoSpaceDE/>
        <w:autoSpaceDN/>
        <w:bidi w:val="0"/>
        <w:spacing w:line="560" w:lineRule="exact"/>
        <w:ind w:firstLine="642" w:firstLineChars="200"/>
        <w:jc w:val="both"/>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（一）评价结论</w:t>
      </w:r>
    </w:p>
    <w:p>
      <w:pPr>
        <w:keepNext w:val="0"/>
        <w:keepLines w:val="0"/>
        <w:pageBreakBefore w:val="0"/>
        <w:kinsoku/>
        <w:wordWrap/>
        <w:overflowPunct/>
        <w:topLinePunct w:val="0"/>
        <w:autoSpaceDE/>
        <w:autoSpaceDN/>
        <w:bidi w:val="0"/>
        <w:spacing w:line="560" w:lineRule="exact"/>
        <w:ind w:firstLine="645"/>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国家政策法规规定，结合本部门的实际情况，建立健全了财务管理制度和约束机制，依法、有效地使用财政资金，提高财政资金使用效率，合理分配人、财、物，完成了部门职能目标，实现了较高的工作效率和支出绩效。 </w:t>
      </w:r>
    </w:p>
    <w:p>
      <w:pPr>
        <w:keepNext w:val="0"/>
        <w:keepLines w:val="0"/>
        <w:pageBreakBefore w:val="0"/>
        <w:kinsoku/>
        <w:wordWrap/>
        <w:overflowPunct/>
        <w:topLinePunct w:val="0"/>
        <w:autoSpaceDE/>
        <w:autoSpaceDN/>
        <w:bidi w:val="0"/>
        <w:spacing w:line="560" w:lineRule="exact"/>
        <w:ind w:firstLine="645"/>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结合评价得分评价结果为良好。</w:t>
      </w:r>
    </w:p>
    <w:p>
      <w:pPr>
        <w:keepNext w:val="0"/>
        <w:keepLines w:val="0"/>
        <w:pageBreakBefore w:val="0"/>
        <w:numPr>
          <w:ilvl w:val="0"/>
          <w:numId w:val="0"/>
        </w:numPr>
        <w:kinsoku/>
        <w:wordWrap/>
        <w:overflowPunct/>
        <w:topLinePunct w:val="0"/>
        <w:autoSpaceDE/>
        <w:autoSpaceDN/>
        <w:bidi w:val="0"/>
        <w:spacing w:line="560" w:lineRule="exact"/>
        <w:ind w:firstLine="642" w:firstLineChars="200"/>
        <w:jc w:val="both"/>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（二）存在问题</w:t>
      </w:r>
    </w:p>
    <w:p>
      <w:pPr>
        <w:pStyle w:val="12"/>
        <w:keepNext w:val="0"/>
        <w:keepLines w:val="0"/>
        <w:pageBreakBefore w:val="0"/>
        <w:shd w:val="clear" w:color="auto" w:fill="FFFFFF"/>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财政预算工作经费少，导致工作开展被动</w:t>
      </w:r>
      <w:r>
        <w:rPr>
          <w:rFonts w:hint="eastAsia"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w:t>
      </w:r>
    </w:p>
    <w:p>
      <w:pPr>
        <w:keepNext w:val="0"/>
        <w:keepLines w:val="0"/>
        <w:pageBreakBefore w:val="0"/>
        <w:numPr>
          <w:ilvl w:val="0"/>
          <w:numId w:val="2"/>
        </w:numPr>
        <w:kinsoku/>
        <w:wordWrap/>
        <w:overflowPunct/>
        <w:topLinePunct w:val="0"/>
        <w:autoSpaceDE/>
        <w:autoSpaceDN/>
        <w:bidi w:val="0"/>
        <w:spacing w:line="560" w:lineRule="exact"/>
        <w:ind w:firstLine="642" w:firstLineChars="200"/>
        <w:jc w:val="both"/>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改进建议 </w:t>
      </w:r>
    </w:p>
    <w:p>
      <w:pPr>
        <w:pStyle w:val="11"/>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一是建议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组织财务人员参加省州级财务业务知识及政策指导培训</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全面提升财</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务人员</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的业务素质和工作能力。</w:t>
      </w:r>
      <w:r>
        <w:rPr>
          <w:rFonts w:hint="eastAsia" w:ascii="仿宋_GB2312" w:hAnsi="仿宋_GB2312" w:cs="仿宋_GB2312"/>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请财政根据</w:t>
      </w:r>
      <w:r>
        <w:rPr>
          <w:rFonts w:hint="eastAsia" w:ascii="仿宋_GB2312" w:hAnsi="仿宋_GB2312" w:cs="仿宋_GB2312"/>
          <w:i w:val="0"/>
          <w:iCs w:val="0"/>
          <w:caps w:val="0"/>
          <w:color w:val="000000" w:themeColor="text1"/>
          <w:spacing w:val="0"/>
          <w:sz w:val="32"/>
          <w:szCs w:val="32"/>
          <w:shd w:val="clear" w:fill="FFFFFF"/>
          <w:lang w:val="en-US" w:eastAsia="zh-CN"/>
          <w14:textFill>
            <w14:solidFill>
              <w14:schemeClr w14:val="tx1"/>
            </w14:solidFill>
          </w14:textFill>
        </w:rPr>
        <w:t>就业</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工作发展的要求和实际情况，提高年初部门</w:t>
      </w:r>
      <w:r>
        <w:rPr>
          <w:rFonts w:hint="eastAsia" w:ascii="仿宋_GB2312" w:hAnsi="仿宋_GB2312" w:cs="仿宋_GB2312"/>
          <w:i w:val="0"/>
          <w:iCs w:val="0"/>
          <w:caps w:val="0"/>
          <w:color w:val="000000" w:themeColor="text1"/>
          <w:spacing w:val="0"/>
          <w:sz w:val="32"/>
          <w:szCs w:val="32"/>
          <w:shd w:val="clear" w:fill="FFFFFF"/>
          <w:lang w:val="en-US" w:eastAsia="zh-CN"/>
          <w14:textFill>
            <w14:solidFill>
              <w14:schemeClr w14:val="tx1"/>
            </w14:solidFill>
          </w14:textFill>
        </w:rPr>
        <w:t>工作经费</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预算额度，保证机关正常运转。</w:t>
      </w:r>
    </w:p>
    <w:p>
      <w:pPr>
        <w:pStyle w:val="12"/>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下一步</w:t>
      </w:r>
      <w:r>
        <w:rPr>
          <w:rFonts w:hint="eastAsia" w:ascii="仿宋_GB2312" w:hAnsi="仿宋_GB2312" w:eastAsia="仿宋_GB2312" w:cs="仿宋_GB2312"/>
          <w:color w:val="000000" w:themeColor="text1"/>
          <w:sz w:val="32"/>
          <w:szCs w:val="32"/>
          <w14:textFill>
            <w14:solidFill>
              <w14:schemeClr w14:val="tx1"/>
            </w14:solidFill>
          </w14:textFill>
        </w:rPr>
        <w:t>我们将进一步重视预算的编制工作，提高预算编制的精确度，提高财政资金使用效率。 </w:t>
      </w:r>
    </w:p>
    <w:p>
      <w:pPr>
        <w:pStyle w:val="12"/>
        <w:keepNext w:val="0"/>
        <w:keepLines w:val="0"/>
        <w:pageBreakBefore w:val="0"/>
        <w:shd w:val="clear" w:color="auto" w:fill="FFFFFF"/>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12"/>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3200" w:firstLineChars="10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黑水县公共就业和人才交流服务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中心</w:t>
      </w:r>
    </w:p>
    <w:p>
      <w:pPr>
        <w:pStyle w:val="12"/>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6240" w:leftChars="1100" w:hanging="2720" w:hangingChars="850"/>
        <w:textAlignment w:val="auto"/>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日</w:t>
      </w:r>
    </w:p>
    <w:sectPr>
      <w:headerReference r:id="rId3" w:type="default"/>
      <w:pgSz w:w="11906" w:h="16838"/>
      <w:pgMar w:top="2098" w:right="1474" w:bottom="1984" w:left="1587" w:header="851" w:footer="992" w:gutter="0"/>
      <w:pgNumType w:fmt="numberInDash" w:start="12"/>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
    <w:altName w:val="DejaVu Math TeX Gyre"/>
    <w:panose1 w:val="00000000000000000000"/>
    <w:charset w:val="00"/>
    <w:family w:val="auto"/>
    <w:pitch w:val="default"/>
    <w:sig w:usb0="00000000" w:usb1="00000000" w:usb2="00000000" w:usb3="00000000" w:csb0="00000001" w:csb1="00000000"/>
  </w:font>
  <w:font w:name="方正小标宋简体">
    <w:altName w:val="方正小标宋_GBK"/>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AR PL UKai CN">
    <w:panose1 w:val="02000503000000000000"/>
    <w:charset w:val="86"/>
    <w:family w:val="auto"/>
    <w:pitch w:val="default"/>
    <w:sig w:usb0="A00002FF" w:usb1="3ACFFDFF" w:usb2="00000036" w:usb3="00000000" w:csb0="2016009F" w:csb1="DFD70000"/>
  </w:font>
  <w:font w:name="方正楷体_GBK">
    <w:panose1 w:val="02000000000000000000"/>
    <w:charset w:val="86"/>
    <w:family w:val="auto"/>
    <w:pitch w:val="default"/>
    <w:sig w:usb0="A00002BF" w:usb1="38CF7CFA" w:usb2="00082016" w:usb3="00000000" w:csb0="00040001" w:csb1="00000000"/>
  </w:font>
  <w:font w:name="DejaVu Math TeX Gyre">
    <w:panose1 w:val="02000503000000000000"/>
    <w:charset w:val="00"/>
    <w:family w:val="auto"/>
    <w:pitch w:val="default"/>
    <w:sig w:usb0="A10000EF" w:usb1="4201F9EE" w:usb2="02000000" w:usb3="00000000" w:csb0="60000193" w:csb1="0DD40000"/>
  </w:font>
  <w:font w:name="Noto Sans Syriac Eastern">
    <w:panose1 w:val="02040503050306020203"/>
    <w:charset w:val="86"/>
    <w:family w:val="auto"/>
    <w:pitch w:val="default"/>
    <w:sig w:usb0="00000000" w:usb1="00000000" w:usb2="00000080" w:usb3="00000000" w:csb0="203E0161" w:csb1="D7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AD44C8"/>
    <w:multiLevelType w:val="singleLevel"/>
    <w:tmpl w:val="9FAD44C8"/>
    <w:lvl w:ilvl="0" w:tentative="0">
      <w:start w:val="4"/>
      <w:numFmt w:val="chineseCounting"/>
      <w:suff w:val="nothing"/>
      <w:lvlText w:val="（%1）"/>
      <w:lvlJc w:val="left"/>
      <w:rPr>
        <w:rFonts w:hint="eastAsia"/>
      </w:rPr>
    </w:lvl>
  </w:abstractNum>
  <w:abstractNum w:abstractNumId="1">
    <w:nsid w:val="0F7F4E06"/>
    <w:multiLevelType w:val="singleLevel"/>
    <w:tmpl w:val="0F7F4E06"/>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oNotHyphenateCaps/>
  <w:drawingGridHorizontalSpacing w:val="160"/>
  <w:drawingGridVerticalSpacing w:val="435"/>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jNGNlYWE1ZTE5ODUyMzM1OTQwYjA3NDhlZGRmMWUifQ=="/>
  </w:docVars>
  <w:rsids>
    <w:rsidRoot w:val="00707090"/>
    <w:rsid w:val="00024E52"/>
    <w:rsid w:val="00321064"/>
    <w:rsid w:val="003E0309"/>
    <w:rsid w:val="00404F46"/>
    <w:rsid w:val="00417EF4"/>
    <w:rsid w:val="00570579"/>
    <w:rsid w:val="00707090"/>
    <w:rsid w:val="009A093C"/>
    <w:rsid w:val="009B4C4D"/>
    <w:rsid w:val="00B46918"/>
    <w:rsid w:val="00B6260E"/>
    <w:rsid w:val="00E51072"/>
    <w:rsid w:val="010611C3"/>
    <w:rsid w:val="015E28DD"/>
    <w:rsid w:val="017B4B0E"/>
    <w:rsid w:val="01C679F8"/>
    <w:rsid w:val="03C6347A"/>
    <w:rsid w:val="03E006C1"/>
    <w:rsid w:val="04785EAF"/>
    <w:rsid w:val="04C13D85"/>
    <w:rsid w:val="05991349"/>
    <w:rsid w:val="071F37E0"/>
    <w:rsid w:val="077566D6"/>
    <w:rsid w:val="07B405B0"/>
    <w:rsid w:val="08534FC3"/>
    <w:rsid w:val="08817433"/>
    <w:rsid w:val="0A631C01"/>
    <w:rsid w:val="0A8D3D36"/>
    <w:rsid w:val="0B3A0D5F"/>
    <w:rsid w:val="0C1419FB"/>
    <w:rsid w:val="0CCD3E0C"/>
    <w:rsid w:val="0D6D2D8F"/>
    <w:rsid w:val="0DCD30CE"/>
    <w:rsid w:val="0DCF263D"/>
    <w:rsid w:val="0FD67D94"/>
    <w:rsid w:val="0FF07241"/>
    <w:rsid w:val="101747CE"/>
    <w:rsid w:val="10786EBE"/>
    <w:rsid w:val="12815D5A"/>
    <w:rsid w:val="12910332"/>
    <w:rsid w:val="12E60488"/>
    <w:rsid w:val="16337E88"/>
    <w:rsid w:val="16BB477E"/>
    <w:rsid w:val="17222CF8"/>
    <w:rsid w:val="17A70B2D"/>
    <w:rsid w:val="1870296E"/>
    <w:rsid w:val="18CD6772"/>
    <w:rsid w:val="18D91B78"/>
    <w:rsid w:val="197651EE"/>
    <w:rsid w:val="19BF69CB"/>
    <w:rsid w:val="1A147FD0"/>
    <w:rsid w:val="1A360CCA"/>
    <w:rsid w:val="1AD337F7"/>
    <w:rsid w:val="1AFA0F74"/>
    <w:rsid w:val="1AFF29CD"/>
    <w:rsid w:val="1B31384A"/>
    <w:rsid w:val="1B815BB5"/>
    <w:rsid w:val="1BF46822"/>
    <w:rsid w:val="1C4856F1"/>
    <w:rsid w:val="1D756FD8"/>
    <w:rsid w:val="1F5C13F9"/>
    <w:rsid w:val="22F97D63"/>
    <w:rsid w:val="235D6544"/>
    <w:rsid w:val="24BB41CD"/>
    <w:rsid w:val="255B2F57"/>
    <w:rsid w:val="271909D4"/>
    <w:rsid w:val="28F87159"/>
    <w:rsid w:val="2A1060BE"/>
    <w:rsid w:val="2A5A37DD"/>
    <w:rsid w:val="2AC836DE"/>
    <w:rsid w:val="2B737B75"/>
    <w:rsid w:val="2B7F799F"/>
    <w:rsid w:val="2C36383C"/>
    <w:rsid w:val="2C970601"/>
    <w:rsid w:val="2CC118F2"/>
    <w:rsid w:val="2D572D0A"/>
    <w:rsid w:val="2D7A7DA8"/>
    <w:rsid w:val="2DE41D3C"/>
    <w:rsid w:val="2EF57F78"/>
    <w:rsid w:val="2FFC4679"/>
    <w:rsid w:val="30735F71"/>
    <w:rsid w:val="309269A5"/>
    <w:rsid w:val="31A6303C"/>
    <w:rsid w:val="31F038E2"/>
    <w:rsid w:val="32093536"/>
    <w:rsid w:val="324F616B"/>
    <w:rsid w:val="3303263C"/>
    <w:rsid w:val="33072354"/>
    <w:rsid w:val="334721DD"/>
    <w:rsid w:val="33A201FD"/>
    <w:rsid w:val="3410418C"/>
    <w:rsid w:val="35346A5E"/>
    <w:rsid w:val="366D4898"/>
    <w:rsid w:val="36FD7281"/>
    <w:rsid w:val="370A229C"/>
    <w:rsid w:val="37395108"/>
    <w:rsid w:val="37CB6AAC"/>
    <w:rsid w:val="37E961A0"/>
    <w:rsid w:val="38AF2F46"/>
    <w:rsid w:val="392E59B4"/>
    <w:rsid w:val="3A7844AC"/>
    <w:rsid w:val="3AB07DC6"/>
    <w:rsid w:val="3AB71400"/>
    <w:rsid w:val="3B0A6B5A"/>
    <w:rsid w:val="3B587BC2"/>
    <w:rsid w:val="3C154BD5"/>
    <w:rsid w:val="3CED228F"/>
    <w:rsid w:val="3CF26A6D"/>
    <w:rsid w:val="3EF94FE0"/>
    <w:rsid w:val="3F875618"/>
    <w:rsid w:val="3F942E96"/>
    <w:rsid w:val="40240566"/>
    <w:rsid w:val="40491ED2"/>
    <w:rsid w:val="40A9471F"/>
    <w:rsid w:val="40F732A4"/>
    <w:rsid w:val="40FB141E"/>
    <w:rsid w:val="415B35A7"/>
    <w:rsid w:val="41702C6B"/>
    <w:rsid w:val="424566C9"/>
    <w:rsid w:val="432E3427"/>
    <w:rsid w:val="4438482E"/>
    <w:rsid w:val="44C96CDC"/>
    <w:rsid w:val="44E623E5"/>
    <w:rsid w:val="477C493B"/>
    <w:rsid w:val="47A97BE0"/>
    <w:rsid w:val="47DB0403"/>
    <w:rsid w:val="47EF15B1"/>
    <w:rsid w:val="490A38A3"/>
    <w:rsid w:val="49836786"/>
    <w:rsid w:val="4A55009D"/>
    <w:rsid w:val="4B2B0B52"/>
    <w:rsid w:val="4B8403EE"/>
    <w:rsid w:val="4B9650D2"/>
    <w:rsid w:val="4D8207D1"/>
    <w:rsid w:val="500E459E"/>
    <w:rsid w:val="50F25C6E"/>
    <w:rsid w:val="520D16A0"/>
    <w:rsid w:val="52E73B89"/>
    <w:rsid w:val="54104D89"/>
    <w:rsid w:val="542F4EBD"/>
    <w:rsid w:val="545728BF"/>
    <w:rsid w:val="550C2726"/>
    <w:rsid w:val="559529D1"/>
    <w:rsid w:val="55A61118"/>
    <w:rsid w:val="55EE4C56"/>
    <w:rsid w:val="58495894"/>
    <w:rsid w:val="58535244"/>
    <w:rsid w:val="58641992"/>
    <w:rsid w:val="587F786D"/>
    <w:rsid w:val="593C217C"/>
    <w:rsid w:val="5A8E2EAB"/>
    <w:rsid w:val="5CD34BA6"/>
    <w:rsid w:val="5E667B97"/>
    <w:rsid w:val="5EB25190"/>
    <w:rsid w:val="5EF46636"/>
    <w:rsid w:val="5F2E0D69"/>
    <w:rsid w:val="5F530220"/>
    <w:rsid w:val="5FDB0C8F"/>
    <w:rsid w:val="604578D7"/>
    <w:rsid w:val="60F90EF8"/>
    <w:rsid w:val="62E62727"/>
    <w:rsid w:val="62E732FF"/>
    <w:rsid w:val="632D3D1F"/>
    <w:rsid w:val="661A1A97"/>
    <w:rsid w:val="661B4DE7"/>
    <w:rsid w:val="66734040"/>
    <w:rsid w:val="66BF228E"/>
    <w:rsid w:val="66C32BFE"/>
    <w:rsid w:val="67784B43"/>
    <w:rsid w:val="67D078A0"/>
    <w:rsid w:val="67E70D23"/>
    <w:rsid w:val="68F14FEC"/>
    <w:rsid w:val="6B5E2426"/>
    <w:rsid w:val="6B851761"/>
    <w:rsid w:val="6CDA33DB"/>
    <w:rsid w:val="6D8770F2"/>
    <w:rsid w:val="6DED30D9"/>
    <w:rsid w:val="6DFD1A82"/>
    <w:rsid w:val="6E89147B"/>
    <w:rsid w:val="6EFB1466"/>
    <w:rsid w:val="6F290E31"/>
    <w:rsid w:val="6F370FC4"/>
    <w:rsid w:val="70486FCF"/>
    <w:rsid w:val="713D7D87"/>
    <w:rsid w:val="71815D9D"/>
    <w:rsid w:val="720F3588"/>
    <w:rsid w:val="72176DCB"/>
    <w:rsid w:val="736638B3"/>
    <w:rsid w:val="762056F7"/>
    <w:rsid w:val="764C0175"/>
    <w:rsid w:val="76FE6F74"/>
    <w:rsid w:val="785833D0"/>
    <w:rsid w:val="792C1C32"/>
    <w:rsid w:val="79A656C4"/>
    <w:rsid w:val="79D60C97"/>
    <w:rsid w:val="7A543C18"/>
    <w:rsid w:val="7AE75F94"/>
    <w:rsid w:val="7AF3546D"/>
    <w:rsid w:val="7AFD7DA2"/>
    <w:rsid w:val="7B09430C"/>
    <w:rsid w:val="7C24018C"/>
    <w:rsid w:val="7CC4322C"/>
    <w:rsid w:val="7CC846E8"/>
    <w:rsid w:val="7CDB0DDA"/>
    <w:rsid w:val="7E665422"/>
    <w:rsid w:val="7EFC62CF"/>
    <w:rsid w:val="99FE5B8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7"/>
    <w:qFormat/>
    <w:uiPriority w:val="99"/>
    <w:pPr>
      <w:keepNext/>
      <w:keepLines/>
      <w:spacing w:before="260" w:after="260" w:line="415" w:lineRule="auto"/>
      <w:outlineLvl w:val="1"/>
    </w:pPr>
    <w:rPr>
      <w:rFonts w:ascii="Arial" w:hAnsi="Arial" w:eastAsia="黑体" w:cs="Arial"/>
      <w:b/>
      <w:bCs/>
    </w:rPr>
  </w:style>
  <w:style w:type="paragraph" w:styleId="5">
    <w:name w:val="heading 3"/>
    <w:basedOn w:val="1"/>
    <w:next w:val="1"/>
    <w:link w:val="18"/>
    <w:qFormat/>
    <w:uiPriority w:val="99"/>
    <w:pPr>
      <w:keepNext/>
      <w:keepLines/>
      <w:spacing w:before="260" w:after="260" w:line="415" w:lineRule="auto"/>
      <w:outlineLvl w:val="2"/>
    </w:pPr>
    <w:rPr>
      <w:b/>
      <w:bCs/>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style>
  <w:style w:type="paragraph" w:styleId="6">
    <w:name w:val="Document Map"/>
    <w:basedOn w:val="1"/>
    <w:link w:val="19"/>
    <w:semiHidden/>
    <w:qFormat/>
    <w:uiPriority w:val="99"/>
    <w:rPr>
      <w:rFonts w:ascii="宋体" w:eastAsia="宋体" w:cs="宋体"/>
      <w:sz w:val="18"/>
      <w:szCs w:val="18"/>
    </w:rPr>
  </w:style>
  <w:style w:type="paragraph" w:styleId="7">
    <w:name w:val="Body Text"/>
    <w:basedOn w:val="1"/>
    <w:qFormat/>
    <w:uiPriority w:val="99"/>
    <w:pPr>
      <w:spacing w:beforeLines="30"/>
    </w:pPr>
    <w:rPr>
      <w:rFonts w:ascii="仿宋_GB2312" w:eastAsia="仿宋_GB2312"/>
      <w:kern w:val="0"/>
      <w:sz w:val="30"/>
    </w:rPr>
  </w:style>
  <w:style w:type="paragraph" w:styleId="8">
    <w:name w:val="Balloon Text"/>
    <w:basedOn w:val="1"/>
    <w:link w:val="20"/>
    <w:semiHidden/>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eastAsia="宋体"/>
      <w:sz w:val="18"/>
      <w:szCs w:val="18"/>
    </w:rPr>
  </w:style>
  <w:style w:type="paragraph" w:styleId="10">
    <w:name w:val="header"/>
    <w:basedOn w:val="1"/>
    <w:link w:val="22"/>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11">
    <w:name w:val="table of figures"/>
    <w:basedOn w:val="1"/>
    <w:next w:val="1"/>
    <w:qFormat/>
    <w:uiPriority w:val="0"/>
    <w:pPr>
      <w:ind w:leftChars="200" w:hanging="200" w:hangingChars="200"/>
    </w:p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15">
    <w:name w:val="page number"/>
    <w:basedOn w:val="14"/>
    <w:qFormat/>
    <w:uiPriority w:val="99"/>
  </w:style>
  <w:style w:type="character" w:customStyle="1" w:styleId="16">
    <w:name w:val="Heading 1 Char"/>
    <w:basedOn w:val="14"/>
    <w:link w:val="3"/>
    <w:qFormat/>
    <w:locked/>
    <w:uiPriority w:val="99"/>
    <w:rPr>
      <w:rFonts w:eastAsia="仿宋_GB2312"/>
      <w:b/>
      <w:bCs/>
      <w:kern w:val="44"/>
      <w:sz w:val="44"/>
      <w:szCs w:val="44"/>
    </w:rPr>
  </w:style>
  <w:style w:type="character" w:customStyle="1" w:styleId="17">
    <w:name w:val="Heading 2 Char"/>
    <w:basedOn w:val="14"/>
    <w:link w:val="4"/>
    <w:semiHidden/>
    <w:qFormat/>
    <w:locked/>
    <w:uiPriority w:val="99"/>
    <w:rPr>
      <w:rFonts w:ascii="Cambria" w:hAnsi="Cambria" w:eastAsia="宋体" w:cs="Cambria"/>
      <w:b/>
      <w:bCs/>
      <w:sz w:val="32"/>
      <w:szCs w:val="32"/>
    </w:rPr>
  </w:style>
  <w:style w:type="character" w:customStyle="1" w:styleId="18">
    <w:name w:val="Heading 3 Char"/>
    <w:basedOn w:val="14"/>
    <w:link w:val="5"/>
    <w:semiHidden/>
    <w:qFormat/>
    <w:locked/>
    <w:uiPriority w:val="99"/>
    <w:rPr>
      <w:rFonts w:eastAsia="仿宋_GB2312"/>
      <w:b/>
      <w:bCs/>
      <w:sz w:val="32"/>
      <w:szCs w:val="32"/>
    </w:rPr>
  </w:style>
  <w:style w:type="character" w:customStyle="1" w:styleId="19">
    <w:name w:val="Document Map Char"/>
    <w:basedOn w:val="14"/>
    <w:link w:val="6"/>
    <w:semiHidden/>
    <w:qFormat/>
    <w:locked/>
    <w:uiPriority w:val="99"/>
    <w:rPr>
      <w:rFonts w:eastAsia="仿宋_GB2312"/>
      <w:sz w:val="2"/>
      <w:szCs w:val="2"/>
    </w:rPr>
  </w:style>
  <w:style w:type="character" w:customStyle="1" w:styleId="20">
    <w:name w:val="Balloon Text Char"/>
    <w:basedOn w:val="14"/>
    <w:link w:val="8"/>
    <w:semiHidden/>
    <w:qFormat/>
    <w:locked/>
    <w:uiPriority w:val="99"/>
    <w:rPr>
      <w:rFonts w:eastAsia="仿宋_GB2312"/>
      <w:sz w:val="2"/>
      <w:szCs w:val="2"/>
    </w:rPr>
  </w:style>
  <w:style w:type="character" w:customStyle="1" w:styleId="21">
    <w:name w:val="Footer Char"/>
    <w:basedOn w:val="14"/>
    <w:link w:val="9"/>
    <w:semiHidden/>
    <w:qFormat/>
    <w:locked/>
    <w:uiPriority w:val="99"/>
    <w:rPr>
      <w:rFonts w:eastAsia="仿宋_GB2312"/>
      <w:sz w:val="18"/>
      <w:szCs w:val="18"/>
    </w:rPr>
  </w:style>
  <w:style w:type="character" w:customStyle="1" w:styleId="22">
    <w:name w:val="Header Char"/>
    <w:basedOn w:val="14"/>
    <w:link w:val="10"/>
    <w:semiHidden/>
    <w:qFormat/>
    <w:locked/>
    <w:uiPriority w:val="99"/>
    <w:rPr>
      <w:rFonts w:eastAsia="仿宋_GB2312"/>
      <w:sz w:val="18"/>
      <w:szCs w:val="18"/>
    </w:rPr>
  </w:style>
  <w:style w:type="paragraph" w:customStyle="1" w:styleId="23">
    <w:name w:val="四号正文"/>
    <w:basedOn w:val="1"/>
    <w:qFormat/>
    <w:uiPriority w:val="99"/>
    <w:pPr>
      <w:spacing w:line="360" w:lineRule="auto"/>
    </w:pPr>
    <w:rPr>
      <w:rFonts w:ascii="??" w:hAnsi="??" w:eastAsia="宋体" w:cs="??"/>
      <w:color w:val="000000"/>
      <w:kern w:val="0"/>
      <w:sz w:val="28"/>
      <w:szCs w:val="28"/>
    </w:rPr>
  </w:style>
  <w:style w:type="paragraph" w:customStyle="1" w:styleId="24">
    <w:name w:val="a"/>
    <w:basedOn w:val="1"/>
    <w:qFormat/>
    <w:uiPriority w:val="99"/>
    <w:pPr>
      <w:widowControl/>
      <w:spacing w:before="100" w:beforeAutospacing="1" w:after="100" w:afterAutospacing="1"/>
      <w:jc w:val="left"/>
    </w:pPr>
    <w:rPr>
      <w:rFonts w:ascii="宋体" w:eastAsia="宋体" w:cs="宋体"/>
      <w:kern w:val="0"/>
      <w:sz w:val="24"/>
      <w:szCs w:val="24"/>
    </w:rPr>
  </w:style>
  <w:style w:type="character" w:customStyle="1" w:styleId="25">
    <w:name w:val="15"/>
    <w:basedOn w:val="14"/>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PSZX</Company>
  <Pages>9</Pages>
  <Words>3693</Words>
  <Characters>4246</Characters>
  <Lines>0</Lines>
  <Paragraphs>0</Paragraphs>
  <TotalTime>18</TotalTime>
  <ScaleCrop>false</ScaleCrop>
  <LinksUpToDate>false</LinksUpToDate>
  <CharactersWithSpaces>4297</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2019-05-14T11:06:00Z</dcterms:created>
  <dc:creator>陈萍</dc:creator>
  <cp:lastModifiedBy>user</cp:lastModifiedBy>
  <cp:lastPrinted>2023-06-21T10:09:00Z</cp:lastPrinted>
  <dcterms:modified xsi:type="dcterms:W3CDTF">2023-09-25T10:34:13Z</dcterms:modified>
  <dc:title>区域性就业培训基地建设项目</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4BF04ED22D1347BF8D408DDE653A64D6</vt:lpwstr>
  </property>
  <property fmtid="{D5CDD505-2E9C-101B-9397-08002B2CF9AE}" pid="4" name="KSOSaveFontToCloudKey">
    <vt:lpwstr>727362329_cloud</vt:lpwstr>
  </property>
  <property fmtid="{D5CDD505-2E9C-101B-9397-08002B2CF9AE}" pid="5" name="commondata">
    <vt:lpwstr>eyJoZGlkIjoiOTNjNGNlYWE1ZTE5ODUyMzM1OTQwYjA3NDhlZGRmMWUifQ==</vt:lpwstr>
  </property>
</Properties>
</file>