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社会保险事业管理局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关于“三公”经费2018年决算情况说明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“三公”经费2018年决算情况如下：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</w:t>
      </w:r>
      <w:r>
        <w:rPr>
          <w:rFonts w:hint="eastAsia" w:ascii="仿宋_GB2312" w:eastAsia="仿宋_GB2312"/>
          <w:sz w:val="32"/>
          <w:szCs w:val="32"/>
        </w:rPr>
        <w:t>年无因公出国（境）费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0.16万元，减少60.7%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，主要原因是</w:t>
      </w:r>
      <w:r>
        <w:rPr>
          <w:rFonts w:hint="eastAsia" w:ascii="仿宋_GB2312" w:eastAsia="仿宋_GB2312"/>
          <w:sz w:val="32"/>
          <w:szCs w:val="32"/>
        </w:rPr>
        <w:t>严格按照公务接待费的标准执行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0 万元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 2018年决算支出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1.44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万元，较2017年决算减少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64.53%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。主要原因：厉行节约减少支出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6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spacing w:line="62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1.44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万元。主要用于用于监督 1辆公务用车燃油、维修、保险等方面支出。 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黑水县社会保险事业管理局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2018年决算情况表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2018年决算（万元）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1.44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195C5799"/>
    <w:rsid w:val="2E17587F"/>
    <w:rsid w:val="624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12</TotalTime>
  <ScaleCrop>false</ScaleCrop>
  <LinksUpToDate>false</LinksUpToDate>
  <CharactersWithSpaces>529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将～幸福继续</cp:lastModifiedBy>
  <cp:lastPrinted>2019-08-28T08:11:50Z</cp:lastPrinted>
  <dcterms:modified xsi:type="dcterms:W3CDTF">2019-08-28T08:15:46Z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