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eastAsia="zh-CN"/>
        </w:rPr>
        <w:t>黑水县社会保险事务中心</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3"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color w:val="000000"/>
          <w:sz w:val="32"/>
          <w:szCs w:val="32"/>
          <w:shd w:val="clear" w:color="auto" w:fill="auto"/>
        </w:rPr>
        <w:t>黑水县</w:t>
      </w:r>
      <w:r>
        <w:rPr>
          <w:rFonts w:hint="eastAsia" w:ascii="仿宋" w:hAnsi="仿宋" w:eastAsia="仿宋" w:cs="仿宋"/>
          <w:color w:val="000000"/>
          <w:sz w:val="32"/>
          <w:szCs w:val="32"/>
          <w:shd w:val="clear" w:color="auto" w:fill="auto"/>
          <w:lang w:eastAsia="zh-CN"/>
        </w:rPr>
        <w:t>社会保险事务中心</w:t>
      </w:r>
      <w:r>
        <w:rPr>
          <w:rFonts w:hint="eastAsia" w:ascii="仿宋" w:hAnsi="仿宋" w:eastAsia="仿宋" w:cs="仿宋"/>
          <w:color w:val="000000"/>
          <w:sz w:val="32"/>
          <w:szCs w:val="32"/>
          <w:shd w:val="clear" w:color="auto" w:fill="auto"/>
        </w:rPr>
        <w:t>属于人社局的二级参公单位，提升为县级一级核算单位。</w:t>
      </w:r>
    </w:p>
    <w:p>
      <w:pPr>
        <w:pStyle w:val="8"/>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640" w:firstLineChars="20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spacing w:line="580" w:lineRule="exact"/>
        <w:ind w:firstLine="640" w:firstLineChars="200"/>
        <w:rPr>
          <w:rFonts w:hint="eastAsia" w:ascii="仿宋" w:hAnsi="仿宋" w:eastAsia="仿宋" w:cs="仿宋"/>
          <w:color w:val="000000"/>
          <w:sz w:val="32"/>
          <w:szCs w:val="32"/>
          <w:shd w:val="clear" w:color="auto" w:fill="auto"/>
          <w:lang w:val="en-US" w:eastAsia="zh-CN"/>
        </w:rPr>
      </w:pPr>
      <w:r>
        <w:rPr>
          <w:rFonts w:hint="eastAsia" w:ascii="仿宋" w:hAnsi="仿宋" w:eastAsia="仿宋" w:cs="仿宋"/>
          <w:color w:val="000000"/>
          <w:sz w:val="32"/>
          <w:szCs w:val="32"/>
          <w:shd w:val="clear" w:color="auto" w:fill="auto"/>
          <w:lang w:val="en-US" w:eastAsia="zh-CN"/>
        </w:rPr>
        <w:t xml:space="preserve">主要职能是负责全县企事业机关单位的职工和个人参保人员的参保登记，机关事业单位职业年金费用的征收，以及养老、工伤保险待遇的发放工作和社保基金的管理，负责对全县进行社会保险政策的宣传工作和养老关系转移等工作。 </w:t>
      </w:r>
    </w:p>
    <w:p>
      <w:pPr>
        <w:numPr>
          <w:ilvl w:val="0"/>
          <w:numId w:val="1"/>
        </w:numPr>
        <w:spacing w:line="580" w:lineRule="exact"/>
        <w:ind w:left="0" w:leftChars="0"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人员概况</w:t>
      </w:r>
      <w:r>
        <w:rPr>
          <w:rFonts w:hint="eastAsia" w:ascii="仿宋_GB2312" w:hAnsi="仿宋" w:eastAsia="仿宋_GB2312" w:cs="仿宋_GB2312"/>
          <w:sz w:val="32"/>
          <w:szCs w:val="32"/>
          <w:lang w:eastAsia="zh-CN"/>
        </w:rPr>
        <w:t>。</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640" w:firstLineChars="200"/>
        <w:jc w:val="left"/>
        <w:rPr>
          <w:rFonts w:hint="eastAsia"/>
          <w:lang w:eastAsia="zh-CN"/>
        </w:rPr>
      </w:pPr>
      <w:r>
        <w:rPr>
          <w:rFonts w:hint="eastAsia" w:ascii="仿宋_GB2312" w:hAnsi="仿宋_GB2312" w:eastAsia="仿宋_GB2312" w:cs="仿宋_GB2312"/>
          <w:color w:val="auto"/>
          <w:kern w:val="2"/>
          <w:sz w:val="32"/>
          <w:szCs w:val="32"/>
          <w:lang w:val="en-US" w:eastAsia="zh-CN" w:bidi="ar-SA"/>
        </w:rPr>
        <w:t>截至2024年末，黑水县社会保险事务中心总编制23名，实有职工22人，其中：参照公务员法管理人员21名，工勤人员1人。</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spacing w:line="600" w:lineRule="exact"/>
        <w:ind w:firstLine="640" w:firstLineChars="200"/>
        <w:outlineLvl w:val="1"/>
      </w:pPr>
      <w:r>
        <w:rPr>
          <w:rFonts w:hint="eastAsia" w:ascii="仿宋_GB2312" w:hAnsi="仿宋" w:eastAsia="仿宋_GB2312"/>
          <w:color w:val="000000"/>
          <w:sz w:val="32"/>
          <w:szCs w:val="32"/>
        </w:rPr>
        <w:t>本年度全年</w:t>
      </w:r>
      <w:r>
        <w:rPr>
          <w:rFonts w:hint="eastAsia" w:ascii="仿宋_GB2312" w:hAnsi="仿宋" w:eastAsia="仿宋_GB2312"/>
          <w:color w:val="000000"/>
          <w:sz w:val="32"/>
          <w:szCs w:val="32"/>
          <w:lang w:eastAsia="zh-CN"/>
        </w:rPr>
        <w:t>部门财政资金收入</w:t>
      </w:r>
      <w:r>
        <w:rPr>
          <w:rFonts w:hint="eastAsia" w:ascii="仿宋_GB2312" w:hAnsi="仿宋" w:eastAsia="仿宋_GB2312"/>
          <w:color w:val="000000"/>
          <w:sz w:val="32"/>
          <w:szCs w:val="32"/>
        </w:rPr>
        <w:t>为</w:t>
      </w:r>
      <w:r>
        <w:rPr>
          <w:rFonts w:hint="eastAsia" w:ascii="仿宋_GB2312" w:hAnsi="仿宋" w:eastAsia="仿宋_GB2312"/>
          <w:color w:val="000000"/>
          <w:sz w:val="32"/>
          <w:szCs w:val="32"/>
          <w:lang w:val="en-US" w:eastAsia="zh-CN"/>
        </w:rPr>
        <w:t>393.87</w:t>
      </w:r>
      <w:r>
        <w:rPr>
          <w:rFonts w:hint="eastAsia" w:ascii="仿宋_GB2312" w:hAnsi="仿宋" w:eastAsia="仿宋_GB2312"/>
          <w:color w:val="000000"/>
          <w:sz w:val="32"/>
          <w:szCs w:val="32"/>
        </w:rPr>
        <w:t>万元，其中：一般公共预算财政拨款收入</w:t>
      </w:r>
      <w:r>
        <w:rPr>
          <w:rFonts w:hint="eastAsia" w:ascii="仿宋_GB2312" w:hAnsi="仿宋" w:eastAsia="仿宋_GB2312"/>
          <w:color w:val="000000"/>
          <w:sz w:val="32"/>
          <w:szCs w:val="32"/>
          <w:lang w:val="en-US" w:eastAsia="zh-CN"/>
        </w:rPr>
        <w:t>393.87</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w:t>
      </w:r>
      <w:r>
        <w:rPr>
          <w:rFonts w:hint="eastAsia" w:ascii="仿宋_GB2312" w:hAnsi="仿宋_GB2312" w:eastAsia="仿宋_GB2312" w:cs="仿宋_GB2312"/>
          <w:color w:val="auto"/>
          <w:kern w:val="2"/>
          <w:sz w:val="32"/>
          <w:szCs w:val="32"/>
          <w:lang w:val="en-US" w:eastAsia="zh-CN" w:bidi="ar-SA"/>
        </w:rPr>
        <w:t>占总收入100%。主要用于本单位人员经费、公用经费，切实保证我中心正常运转。</w:t>
      </w: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pStyle w:val="8"/>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ind w:right="0" w:rightChars="0" w:firstLine="640" w:firstLineChars="200"/>
        <w:jc w:val="left"/>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本单位2024年年初预算安排支出306.17万元，本年实际支出393.87万元，其中：财政拨款</w:t>
      </w:r>
      <w:bookmarkStart w:id="1" w:name="_GoBack"/>
      <w:bookmarkEnd w:id="1"/>
      <w:r>
        <w:rPr>
          <w:rFonts w:hint="eastAsia" w:ascii="仿宋_GB2312" w:hAnsi="仿宋_GB2312" w:eastAsia="仿宋_GB2312" w:cs="仿宋_GB2312"/>
          <w:color w:val="auto"/>
          <w:kern w:val="2"/>
          <w:sz w:val="32"/>
          <w:szCs w:val="32"/>
          <w:lang w:val="en-US" w:eastAsia="zh-CN" w:bidi="ar-SA"/>
        </w:rPr>
        <w:t>支出393.87万元，占比100%；按照支出性质分为：基本支出360.88万元（占比91.62%），项目支出32.99万元（占比8.38%）；按照支出经济分类：工资福利支出338.91万元（占比86.05%）、商品和服务支出18.41万元（占比4.67%）、对个人和家庭的补助36.55万元（占比9.28%）</w:t>
      </w:r>
    </w:p>
    <w:p>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spacing w:line="580" w:lineRule="exact"/>
        <w:ind w:firstLine="640" w:firstLineChars="200"/>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一是部门预算编制目标制定清晰，部门整体绩 效目标编制完整、合理部门整体绩效目标能完整、合理反映部门年度职责履行情况，项目绩效目标编制明确，并通过了预算草案审查，审查后未提出确需修改的问题。二是预算编制质量。严格按要求编制年初部门预算，年初预算编制具有科学性和准确性。</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spacing w:line="580" w:lineRule="exact"/>
        <w:ind w:firstLine="640" w:firstLineChars="200"/>
        <w:rPr>
          <w:rFonts w:hint="eastAsia" w:ascii="仿宋_GB2312" w:hAnsi="仿宋" w:eastAsia="仿宋_GB2312" w:cs="仿宋_GB2312"/>
          <w:kern w:val="2"/>
          <w:sz w:val="32"/>
          <w:szCs w:val="32"/>
          <w:lang w:val="zh-CN" w:eastAsia="zh-CN" w:bidi="ar-SA"/>
        </w:rPr>
      </w:pPr>
      <w:r>
        <w:rPr>
          <w:rFonts w:hint="eastAsia" w:ascii="仿宋_GB2312" w:hAnsi="仿宋" w:eastAsia="仿宋_GB2312" w:cs="仿宋_GB2312"/>
          <w:kern w:val="2"/>
          <w:sz w:val="32"/>
          <w:szCs w:val="32"/>
          <w:lang w:val="en-US" w:eastAsia="zh-CN" w:bidi="ar-SA"/>
        </w:rPr>
        <w:t>2024年我中心专项资金按年拨款，按实际发生情况支付。2024年专项预算共3个，实际支付32.99万元，其中：省统外补贴8.7万元，建国初期退休人员困难补助1.85万元，离退休人员春节慰问金22.44万元。我中心严格按照预算项目程序，</w:t>
      </w:r>
      <w:r>
        <w:rPr>
          <w:rFonts w:hint="eastAsia" w:ascii="仿宋_GB2312" w:hAnsi="仿宋" w:eastAsia="仿宋_GB2312" w:cs="仿宋_GB2312"/>
          <w:kern w:val="2"/>
          <w:sz w:val="32"/>
          <w:szCs w:val="32"/>
          <w:lang w:val="zh-CN" w:eastAsia="zh-CN" w:bidi="ar-SA"/>
        </w:rPr>
        <w:t>设置</w:t>
      </w:r>
      <w:r>
        <w:rPr>
          <w:rFonts w:hint="eastAsia" w:ascii="仿宋_GB2312" w:hAnsi="仿宋" w:eastAsia="仿宋_GB2312" w:cs="仿宋_GB2312"/>
          <w:kern w:val="2"/>
          <w:sz w:val="32"/>
          <w:szCs w:val="32"/>
          <w:lang w:val="en-US" w:eastAsia="zh-CN" w:bidi="ar-SA"/>
        </w:rPr>
        <w:t>绩效</w:t>
      </w:r>
      <w:r>
        <w:rPr>
          <w:rFonts w:hint="eastAsia" w:ascii="仿宋_GB2312" w:hAnsi="仿宋" w:eastAsia="仿宋_GB2312" w:cs="仿宋_GB2312"/>
          <w:kern w:val="2"/>
          <w:sz w:val="32"/>
          <w:szCs w:val="32"/>
          <w:lang w:val="zh-CN" w:eastAsia="zh-CN" w:bidi="ar-SA"/>
        </w:rPr>
        <w:t>目标科学合理、规范完整、量化细化、预算匹配。</w:t>
      </w:r>
      <w:r>
        <w:rPr>
          <w:rFonts w:hint="default" w:ascii="仿宋_GB2312" w:hAnsi="仿宋" w:eastAsia="仿宋_GB2312" w:cs="仿宋_GB2312"/>
          <w:kern w:val="2"/>
          <w:sz w:val="32"/>
          <w:szCs w:val="32"/>
          <w:lang w:val="en-US" w:eastAsia="zh-CN" w:bidi="ar-SA"/>
        </w:rPr>
        <w:t>目标设立清晰</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完成无偏差</w:t>
      </w:r>
      <w:r>
        <w:rPr>
          <w:rFonts w:hint="eastAsia" w:ascii="仿宋_GB2312" w:hAnsi="仿宋" w:eastAsia="仿宋_GB2312" w:cs="仿宋_GB2312"/>
          <w:kern w:val="2"/>
          <w:sz w:val="32"/>
          <w:szCs w:val="32"/>
          <w:lang w:val="en-US" w:eastAsia="zh-CN" w:bidi="ar-SA"/>
        </w:rPr>
        <w:t>，</w:t>
      </w:r>
      <w:r>
        <w:rPr>
          <w:rFonts w:hint="default" w:ascii="仿宋_GB2312" w:hAnsi="仿宋" w:eastAsia="仿宋_GB2312" w:cs="仿宋_GB2312"/>
          <w:kern w:val="2"/>
          <w:sz w:val="32"/>
          <w:szCs w:val="32"/>
          <w:lang w:val="en-US" w:eastAsia="zh-CN" w:bidi="ar-SA"/>
        </w:rPr>
        <w:t>项目实现效果好，项目执行好评率高、目标完成率高</w:t>
      </w:r>
      <w:r>
        <w:rPr>
          <w:rFonts w:hint="eastAsia" w:ascii="仿宋_GB2312" w:hAnsi="仿宋" w:eastAsia="仿宋_GB2312" w:cs="仿宋_GB2312"/>
          <w:kern w:val="2"/>
          <w:sz w:val="32"/>
          <w:szCs w:val="32"/>
          <w:lang w:val="en-US" w:eastAsia="zh-CN" w:bidi="ar-SA"/>
        </w:rPr>
        <w:t>，使</w:t>
      </w:r>
      <w:r>
        <w:rPr>
          <w:rFonts w:hint="eastAsia" w:ascii="仿宋_GB2312" w:hAnsi="仿宋" w:eastAsia="仿宋_GB2312" w:cs="仿宋_GB2312"/>
          <w:kern w:val="2"/>
          <w:sz w:val="32"/>
          <w:szCs w:val="32"/>
          <w:lang w:val="zh-CN" w:eastAsia="zh-CN" w:bidi="ar-SA"/>
        </w:rPr>
        <w:t>项目执行进度有序推进。</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我中心在执行公务过程中严格执行“厉行节约、反对浪费”的规定，严格控制“三公”经费支出。部门预算、决算在财政部门批复后及时按要求填报预、决算公开资料报财政审核后在政府信息公开网上公开。</w:t>
      </w:r>
    </w:p>
    <w:p>
      <w:pPr>
        <w:spacing w:line="580" w:lineRule="exact"/>
        <w:ind w:firstLine="640" w:firstLineChars="200"/>
        <w:rPr>
          <w:rFonts w:hint="eastAsia" w:ascii="仿宋" w:hAnsi="仿宋" w:eastAsia="仿宋"/>
          <w:sz w:val="32"/>
          <w:szCs w:val="32"/>
          <w:lang w:eastAsia="zh-CN"/>
        </w:rPr>
      </w:pPr>
      <w:r>
        <w:rPr>
          <w:rFonts w:hint="eastAsia" w:ascii="仿宋" w:hAnsi="仿宋" w:eastAsia="仿宋" w:cs="仿宋"/>
          <w:b w:val="0"/>
          <w:bCs/>
          <w:color w:val="000000"/>
          <w:sz w:val="32"/>
          <w:szCs w:val="32"/>
          <w:lang w:val="en-US" w:eastAsia="zh-CN"/>
        </w:rPr>
        <w:t xml:space="preserve"> 2024年</w:t>
      </w:r>
      <w:r>
        <w:rPr>
          <w:rFonts w:hint="default" w:ascii="仿宋_GB2312" w:hAnsi="仿宋" w:eastAsia="仿宋_GB2312" w:cs="仿宋_GB2312"/>
          <w:kern w:val="2"/>
          <w:sz w:val="32"/>
          <w:szCs w:val="32"/>
          <w:lang w:val="en-US" w:eastAsia="zh-CN" w:bidi="ar-SA"/>
        </w:rPr>
        <w:t>我</w:t>
      </w:r>
      <w:r>
        <w:rPr>
          <w:rFonts w:hint="eastAsia" w:ascii="仿宋_GB2312" w:hAnsi="仿宋" w:eastAsia="仿宋_GB2312" w:cs="仿宋_GB2312"/>
          <w:kern w:val="2"/>
          <w:sz w:val="32"/>
          <w:szCs w:val="32"/>
          <w:lang w:val="en-US" w:eastAsia="zh-CN" w:bidi="ar-SA"/>
        </w:rPr>
        <w:t>中心</w:t>
      </w:r>
      <w:r>
        <w:rPr>
          <w:rFonts w:hint="default" w:ascii="仿宋_GB2312" w:hAnsi="仿宋" w:eastAsia="仿宋_GB2312" w:cs="仿宋_GB2312"/>
          <w:kern w:val="2"/>
          <w:sz w:val="32"/>
          <w:szCs w:val="32"/>
          <w:lang w:val="en-US" w:eastAsia="zh-CN" w:bidi="ar-SA"/>
        </w:rPr>
        <w:t>无</w:t>
      </w:r>
      <w:r>
        <w:rPr>
          <w:rFonts w:hint="eastAsia" w:ascii="仿宋_GB2312" w:hAnsi="仿宋" w:eastAsia="仿宋_GB2312" w:cs="仿宋_GB2312"/>
          <w:kern w:val="2"/>
          <w:sz w:val="32"/>
          <w:szCs w:val="32"/>
          <w:lang w:val="en-US" w:eastAsia="zh-CN" w:bidi="ar-SA"/>
        </w:rPr>
        <w:t>评价结果整改情况</w:t>
      </w:r>
      <w:r>
        <w:rPr>
          <w:rFonts w:hint="default" w:ascii="仿宋_GB2312" w:hAnsi="仿宋" w:eastAsia="仿宋_GB2312" w:cs="仿宋_GB2312"/>
          <w:kern w:val="2"/>
          <w:sz w:val="32"/>
          <w:szCs w:val="32"/>
          <w:lang w:val="en-US" w:eastAsia="zh-CN" w:bidi="ar-SA"/>
        </w:rPr>
        <w:t>，</w:t>
      </w:r>
      <w:r>
        <w:rPr>
          <w:rFonts w:hint="eastAsia" w:ascii="仿宋_GB2312" w:hAnsi="仿宋" w:eastAsia="仿宋_GB2312" w:cs="仿宋_GB2312"/>
          <w:kern w:val="2"/>
          <w:sz w:val="32"/>
          <w:szCs w:val="32"/>
          <w:lang w:val="en-US" w:eastAsia="zh-CN" w:bidi="ar-SA"/>
        </w:rPr>
        <w:t>若自查整改中发现问题能立即整改。</w:t>
      </w:r>
      <w:r>
        <w:rPr>
          <w:rFonts w:hint="eastAsia" w:ascii="仿宋" w:hAnsi="仿宋" w:eastAsia="仿宋" w:cs="仿宋"/>
          <w:b w:val="0"/>
          <w:bCs/>
          <w:color w:val="000000"/>
          <w:sz w:val="32"/>
          <w:szCs w:val="32"/>
          <w:lang w:val="en-US" w:eastAsia="zh-CN"/>
        </w:rPr>
        <w:t xml:space="preserve"> </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（一）评价结论。</w:t>
      </w:r>
      <w:r>
        <w:rPr>
          <w:rFonts w:hint="eastAsia" w:ascii="仿宋" w:hAnsi="仿宋" w:eastAsia="仿宋" w:cs="仿宋"/>
          <w:b w:val="0"/>
          <w:bCs/>
          <w:sz w:val="32"/>
          <w:szCs w:val="32"/>
        </w:rPr>
        <w:t>从自评情况来看，我</w:t>
      </w:r>
      <w:r>
        <w:rPr>
          <w:rFonts w:hint="eastAsia" w:ascii="仿宋" w:hAnsi="仿宋" w:eastAsia="仿宋" w:cs="仿宋"/>
          <w:b w:val="0"/>
          <w:bCs/>
          <w:sz w:val="32"/>
          <w:szCs w:val="32"/>
          <w:lang w:eastAsia="zh-CN"/>
        </w:rPr>
        <w:t>中心</w:t>
      </w:r>
      <w:r>
        <w:rPr>
          <w:rFonts w:hint="eastAsia" w:ascii="仿宋" w:hAnsi="仿宋" w:eastAsia="仿宋" w:cs="仿宋"/>
          <w:b w:val="0"/>
          <w:bCs/>
          <w:sz w:val="32"/>
          <w:szCs w:val="32"/>
        </w:rPr>
        <w:t>部门支出绩效水平较高，整体上完成了年初设定的绩效目标，保障了我</w:t>
      </w:r>
      <w:r>
        <w:rPr>
          <w:rFonts w:hint="eastAsia" w:ascii="仿宋" w:hAnsi="仿宋" w:eastAsia="仿宋" w:cs="仿宋"/>
          <w:b w:val="0"/>
          <w:bCs/>
          <w:sz w:val="32"/>
          <w:szCs w:val="32"/>
          <w:lang w:eastAsia="zh-CN"/>
        </w:rPr>
        <w:t>中心</w:t>
      </w:r>
      <w:r>
        <w:rPr>
          <w:rFonts w:hint="eastAsia" w:ascii="仿宋" w:hAnsi="仿宋" w:eastAsia="仿宋" w:cs="仿宋"/>
          <w:b w:val="0"/>
          <w:bCs/>
          <w:sz w:val="32"/>
          <w:szCs w:val="32"/>
        </w:rPr>
        <w:t>工作的正常运转，促进了我</w:t>
      </w:r>
      <w:r>
        <w:rPr>
          <w:rFonts w:hint="eastAsia" w:ascii="仿宋" w:hAnsi="仿宋" w:eastAsia="仿宋" w:cs="仿宋"/>
          <w:b w:val="0"/>
          <w:bCs/>
          <w:sz w:val="32"/>
          <w:szCs w:val="32"/>
          <w:lang w:eastAsia="zh-CN"/>
        </w:rPr>
        <w:t>中心</w:t>
      </w:r>
      <w:r>
        <w:rPr>
          <w:rFonts w:hint="eastAsia" w:ascii="仿宋" w:hAnsi="仿宋" w:eastAsia="仿宋" w:cs="仿宋"/>
          <w:b w:val="0"/>
          <w:bCs/>
          <w:sz w:val="32"/>
          <w:szCs w:val="32"/>
        </w:rPr>
        <w:t>的事业发展，按照国家政策法规规定，结合本部门实际情况，建立健全财务管理制度肯约束机制，依法、有效地使用财政资金，提高财政资金使用效率，合理分配人、财、物，完成了部门职能目标，实现了较高的工作效率和支出绩效。</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（二）存在问题。</w:t>
      </w:r>
      <w:r>
        <w:rPr>
          <w:rFonts w:hint="eastAsia" w:ascii="仿宋_GB2312" w:hAnsi="仿宋" w:eastAsia="仿宋_GB2312" w:cs="仿宋_GB2312"/>
          <w:sz w:val="32"/>
          <w:szCs w:val="32"/>
          <w:lang w:eastAsia="zh-CN"/>
        </w:rPr>
        <w:t>无</w:t>
      </w:r>
    </w:p>
    <w:p>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（三）改进建议。</w:t>
      </w:r>
      <w:r>
        <w:rPr>
          <w:rFonts w:hint="eastAsia" w:ascii="仿宋_GB2312" w:hAnsi="仿宋" w:eastAsia="仿宋_GB2312" w:cs="仿宋_GB2312"/>
          <w:sz w:val="32"/>
          <w:szCs w:val="32"/>
          <w:lang w:eastAsia="zh-CN"/>
        </w:rPr>
        <w:t>无</w:t>
      </w:r>
    </w:p>
    <w:p>
      <w:pPr>
        <w:widowControl/>
        <w:jc w:val="left"/>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jc w:val="righ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黑水县社会保险事务中心</w:t>
      </w:r>
    </w:p>
    <w:p>
      <w:pPr>
        <w:pStyle w:val="2"/>
        <w:jc w:val="center"/>
        <w:rPr>
          <w:rFonts w:hint="default"/>
          <w:lang w:val="en-US" w:eastAsia="zh-CN"/>
        </w:rPr>
      </w:pPr>
      <w:r>
        <w:rPr>
          <w:rFonts w:hint="eastAsia" w:ascii="仿宋_GB2312" w:hAnsi="仿宋_GB2312" w:cs="仿宋_GB2312"/>
          <w:sz w:val="32"/>
          <w:szCs w:val="32"/>
          <w:lang w:val="en-US" w:eastAsia="zh-CN"/>
        </w:rPr>
        <w:t xml:space="preserve">                          2025年8月25日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5A2AF5"/>
    <w:multiLevelType w:val="singleLevel"/>
    <w:tmpl w:val="9E5A2AF5"/>
    <w:lvl w:ilvl="0" w:tentative="0">
      <w:start w:val="3"/>
      <w:numFmt w:val="chineseCounting"/>
      <w:suff w:val="nothing"/>
      <w:lvlText w:val="%1、"/>
      <w:lvlJc w:val="left"/>
      <w:rPr>
        <w:rFonts w:hint="eastAsia"/>
      </w:rPr>
    </w:lvl>
  </w:abstractNum>
  <w:abstractNum w:abstractNumId="1">
    <w:nsid w:val="52C4ABB2"/>
    <w:multiLevelType w:val="singleLevel"/>
    <w:tmpl w:val="52C4ABB2"/>
    <w:lvl w:ilvl="0" w:tentative="0">
      <w:start w:val="2"/>
      <w:numFmt w:val="chineseCounting"/>
      <w:suff w:val="nothing"/>
      <w:lvlText w:val="（%1）"/>
      <w:lvlJc w:val="left"/>
      <w:rPr>
        <w:rFonts w:hint="eastAsia"/>
      </w:rPr>
    </w:lvl>
  </w:abstractNum>
  <w:abstractNum w:abstractNumId="2">
    <w:nsid w:val="559B2FE4"/>
    <w:multiLevelType w:val="singleLevel"/>
    <w:tmpl w:val="559B2FE4"/>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32E64DF"/>
    <w:rsid w:val="041D6818"/>
    <w:rsid w:val="07533BD9"/>
    <w:rsid w:val="0C015C26"/>
    <w:rsid w:val="265754CC"/>
    <w:rsid w:val="27D81E63"/>
    <w:rsid w:val="2DF16A92"/>
    <w:rsid w:val="3410063D"/>
    <w:rsid w:val="34EB1F43"/>
    <w:rsid w:val="36435EC2"/>
    <w:rsid w:val="43EB7E23"/>
    <w:rsid w:val="4AB223FE"/>
    <w:rsid w:val="4DD97D2F"/>
    <w:rsid w:val="565F6673"/>
    <w:rsid w:val="60D032A5"/>
    <w:rsid w:val="715B5BB2"/>
    <w:rsid w:val="71CC7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rPr>
      <w:rFonts w:ascii="Times New Roman" w:hAnsi="Times New Roman" w:eastAsia="仿宋_GB2312" w:cs="Times New Roman"/>
      <w:sz w:val="32"/>
      <w:szCs w:val="32"/>
    </w:rPr>
  </w:style>
  <w:style w:type="paragraph" w:styleId="3">
    <w:name w:val="index 8"/>
    <w:basedOn w:val="1"/>
    <w:next w:val="1"/>
    <w:unhideWhenUsed/>
    <w:qFormat/>
    <w:uiPriority w:val="99"/>
    <w:pPr>
      <w:ind w:left="1400" w:leftChars="1400"/>
    </w:pPr>
  </w:style>
  <w:style w:type="paragraph" w:styleId="4">
    <w:name w:val="Body Text"/>
    <w:basedOn w:val="1"/>
    <w:next w:val="3"/>
    <w:qFormat/>
    <w:uiPriority w:val="0"/>
    <w:pPr>
      <w:widowControl/>
      <w:spacing w:before="100" w:beforeAutospacing="1" w:after="100" w:afterAutospacing="1"/>
      <w:jc w:val="left"/>
    </w:pPr>
    <w:rPr>
      <w:rFonts w:ascii="宋体" w:hAnsi="宋体" w:cs="宋体"/>
      <w:kern w:val="0"/>
      <w:sz w:val="24"/>
    </w:rPr>
  </w:style>
  <w:style w:type="paragraph" w:styleId="5">
    <w:name w:val="Plain Text"/>
    <w:basedOn w:val="1"/>
    <w:qFormat/>
    <w:uiPriority w:val="0"/>
    <w:rPr>
      <w:rFonts w:ascii="宋体" w:hAnsi="Courier New"/>
    </w:rPr>
  </w:style>
  <w:style w:type="paragraph" w:styleId="6">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 w:type="paragraph" w:customStyle="1" w:styleId="13">
    <w:name w:val="正文-公1"/>
    <w:basedOn w:val="14"/>
    <w:next w:val="1"/>
    <w:qFormat/>
    <w:uiPriority w:val="0"/>
    <w:pPr>
      <w:ind w:firstLine="200" w:firstLineChars="200"/>
    </w:p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Pages>
  <Words>1193</Words>
  <Characters>1305</Characters>
  <Lines>2</Lines>
  <Paragraphs>1</Paragraphs>
  <TotalTime>2</TotalTime>
  <ScaleCrop>false</ScaleCrop>
  <LinksUpToDate>false</LinksUpToDate>
  <CharactersWithSpaces>1334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2025-08-28T08:29:17Z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3115989309D741DA945EE44A488D69E1</vt:lpwstr>
  </property>
  <property fmtid="{D5CDD505-2E9C-101B-9397-08002B2CF9AE}" pid="4" name="KSOTemplateDocerSaveRecord">
    <vt:lpwstr>eyJoZGlkIjoiZGZhN2ZmZDAyMjM1MGE3ZDhmMGJlNjVmNzY3Mzc5ZjYiLCJ1c2VySWQiOiIzNjkzMzIwNjYifQ==</vt:lpwstr>
  </property>
</Properties>
</file>