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黑水县信访局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t>二、公务接待费</w:t>
      </w:r>
    </w:p>
    <w:p>
      <w:pPr>
        <w:widowControl/>
        <w:spacing w:line="480" w:lineRule="atLeast"/>
        <w:ind w:firstLine="646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年决算减少，主要原因是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3.09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0.02万元，主要原因是维修费增加。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3.09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万元。主要用于公务用车燃料费、维修费、过路过桥费、保险费等支出。。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黑水县信访局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财政拨款“三公”经费</w:t>
      </w: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highlight w:val="none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0.14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3.09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3.09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47B799C"/>
    <w:rsid w:val="10857CC5"/>
    <w:rsid w:val="19113B40"/>
    <w:rsid w:val="1D0B2F60"/>
    <w:rsid w:val="58DA4B43"/>
    <w:rsid w:val="66090EF9"/>
    <w:rsid w:val="66B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</TotalTime>
  <ScaleCrop>false</ScaleCrop>
  <LinksUpToDate>false</LinksUpToDate>
  <CharactersWithSpaces>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acer</cp:lastModifiedBy>
  <dcterms:modified xsi:type="dcterms:W3CDTF">2021-08-13T00:31:39Z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0667DEF715774BCA96DA134B89092631</vt:lpwstr>
  </property>
</Properties>
</file>