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G010000"/>
      <w:bookmarkStart w:id="1" w:name="_Toc15396616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黑水县信访局（汇总）</w:t>
      </w: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2022年整体支出绩效评价报告</w:t>
      </w:r>
    </w:p>
    <w:bookmarkEnd w:id="0"/>
    <w:p>
      <w:pPr>
        <w:snapToGrid w:val="0"/>
        <w:spacing w:line="560" w:lineRule="exact"/>
        <w:rPr>
          <w:rFonts w:ascii="Times New Roman" w:hAnsi="Times New Roman" w:eastAsia="方正仿宋_GBK"/>
        </w:rPr>
      </w:pP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一、部门（单位）概况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（一）机构组成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黑水县信访局下设1个内设机构：信访接待中心；内设2个股室：综合股、督查督办股。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（二）机构职能</w:t>
      </w:r>
    </w:p>
    <w:p>
      <w:pPr>
        <w:snapToGrid w:val="0"/>
        <w:spacing w:line="560" w:lineRule="exact"/>
        <w:ind w:firstLine="623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负责处理群众来信、接待群众来访，向县委、县政府提供信访信息，开展调查研究，为领导科学、民主决策信访和群众工作服务。（2）承办县委、县政府及上级党委、政府及领导转办、批办的信访事项，督促检查领导的来信来访批示件落实情况。（3）协调处理群众越级上访、非正常上访和突发性信访事项。（4）协调乡镇、县级部门解决群众反映的突出问题，向乡镇、县级部门交办信访事项，负责协调处理跨乡镇、跨部门的重要信访问题。（5）督促、检查乡镇、县级部门落实交办事项的处理情况及贯彻执行党的群众路线、落实事关群众利益政策、维护群众合法权益的情况。</w:t>
      </w:r>
    </w:p>
    <w:p>
      <w:pPr>
        <w:snapToGrid w:val="0"/>
        <w:spacing w:line="5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（6）指导全县信访和群众工作，总结推广信访和群众工作经验，提出加强和改进信访和群众工作的意见和建议。（7）通报重大群众信访问题和群众信访事件。（8）完成县委、县政府交办的其他工作。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（三）人员概况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1．机构情况：1个行政机构，编制6名（其中行政编制4名，行政工勤编制2名）；内设1个信访接访中心，属于事业编制，事业编制数4名。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2．在岗人员情况：我局年末实有人数8人，其中行政编制5名(其中行政编制4名，行政工勤1名)；事业编制3名。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二、部门财政资金收支情况</w:t>
      </w:r>
    </w:p>
    <w:p>
      <w:pPr>
        <w:snapToGrid w:val="0"/>
        <w:spacing w:line="560" w:lineRule="exact"/>
        <w:ind w:firstLine="64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（一）部门财政资金收入情况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1．本单位2022年年初预算安排收入156.91万元，本年实际收入200.10万元，本年实际收入与年初预算增加43.19万元，差异率27.83%。差异原因是预算详实、准确，人员经费增加。</w:t>
      </w:r>
    </w:p>
    <w:p>
      <w:pPr>
        <w:snapToGrid w:val="0"/>
        <w:spacing w:line="560" w:lineRule="exact"/>
        <w:ind w:firstLine="64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2．本年收入200.10万元，其中财政拨款收入200.10万元，占本年收入100%；年初结转和结余23.30万元。</w:t>
      </w:r>
    </w:p>
    <w:p>
      <w:pPr>
        <w:snapToGrid w:val="0"/>
        <w:spacing w:line="560" w:lineRule="exact"/>
        <w:ind w:firstLine="642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（二）部门财政资金支出情况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1．本年预算支出156.91万元，本年决算数支出223.40万元，本年实际支出比预算支出增加66.49万元，差异率42.37%。增加主要原因是因为本年人员调资，社保缴费提高等人员经费增加。 </w:t>
      </w:r>
    </w:p>
    <w:p>
      <w:pPr>
        <w:snapToGrid w:val="0"/>
        <w:spacing w:line="560" w:lineRule="exact"/>
        <w:ind w:firstLine="6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 本年支出223.40万元，按支出性质分析：基本支出200.1万元，占本年总支出的89.57%，项目支出23.30万元，占本年总支出的10.43%；按支出经济分类：工资福利支出175.91万元，占本年支出78.74%，商品和服务支出47.31万元，占本年支出21.18%，对个人和家庭的补助0.18万元，占本年支出的0.08%，其他资本性支出0万元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三、部门整体预算绩效管理情况</w:t>
      </w:r>
      <w:bookmarkEnd w:id="1"/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（一）部门预算管理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我局按照县级部门预算编制通知和有关要求，对2022年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（二）专项预算管理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在县财政局相关股室的支持协调配合下，2022年县信访局专项预算资金按年拨款，专项资金按实际发生情况调拨支付。2022年县信访局专项经费拨款为 23.3万元，其中信访维稳工作经费18.3万元，信访发展资金5万元。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（三）结果应用情况</w:t>
      </w:r>
    </w:p>
    <w:p>
      <w:pPr>
        <w:spacing w:line="560" w:lineRule="exact"/>
        <w:ind w:firstLine="803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>1. 内部控制制度健全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  <w:lang w:val="zh-CN"/>
        </w:rPr>
        <w:t xml:space="preserve">  </w:t>
      </w:r>
      <w:r>
        <w:rPr>
          <w:rFonts w:hint="eastAsia" w:ascii="宋体" w:hAnsi="宋体" w:eastAsia="宋体" w:cs="宋体"/>
        </w:rPr>
        <w:t>为规范我局的财务行为，加强财务管理，根据《中华人民共和国会计法》、《中华人民共和国预算法》、《行政事业单位会计制度》等财经法规以及根据财政部印发的《关于开展行政事业单位内部控制基础性评价工作的通知》（财会〔2016〕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  <w:lang w:val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 xml:space="preserve">、财务核算 </w:t>
      </w:r>
      <w:r>
        <w:rPr>
          <w:rFonts w:hint="eastAsia" w:ascii="宋体" w:hAnsi="宋体" w:eastAsia="宋体" w:cs="宋体"/>
        </w:rPr>
        <w:t xml:space="preserve"> 严格依照《中华人民共和国会计法》、《财务规则》、《行政单位会计制度》</w:t>
      </w:r>
      <w:r>
        <w:rPr>
          <w:rFonts w:hint="eastAsia" w:ascii="宋体" w:hAnsi="宋体" w:eastAsia="宋体" w:cs="宋体"/>
        </w:rPr>
        <w:t>《中华人民共和国会计法》</w:t>
      </w:r>
      <w:r>
        <w:rPr>
          <w:rFonts w:hint="eastAsia" w:ascii="宋体" w:hAnsi="宋体" w:eastAsia="宋体" w:cs="宋体"/>
        </w:rPr>
        <w:t>《行政事业单位财务管理办法》等规定制定出本单位各项财务制度《黑水县信访局财务管理制度》《黑水县信访局固定资产管理制度》等一系列财经规定，进行财务管理、核算、控制和监督。</w:t>
      </w:r>
    </w:p>
    <w:p>
      <w:pPr>
        <w:spacing w:line="560" w:lineRule="exact"/>
        <w:ind w:firstLine="803" w:firstLineChars="250"/>
        <w:rPr>
          <w:rFonts w:ascii="宋体" w:hAnsi="宋体" w:eastAsia="宋体" w:cs="宋体"/>
          <w:color w:val="000000"/>
          <w:kern w:val="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>3、账务管理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  <w:lang w:val="zh-CN"/>
        </w:rPr>
        <w:t xml:space="preserve"> </w:t>
      </w:r>
      <w:r>
        <w:rPr>
          <w:rFonts w:hint="eastAsia" w:ascii="宋体" w:hAnsi="宋体" w:eastAsia="宋体" w:cs="宋体"/>
        </w:rPr>
        <w:t xml:space="preserve"> 按照国家关于会计档案管理的规定和要求，对会计凭证、会计</w:t>
      </w:r>
      <w:bookmarkStart w:id="2" w:name="_GoBack"/>
      <w:bookmarkEnd w:id="2"/>
      <w:r>
        <w:rPr>
          <w:rFonts w:hint="eastAsia" w:ascii="宋体" w:hAnsi="宋体" w:eastAsia="宋体" w:cs="宋体"/>
          <w:lang w:eastAsia="zh-CN"/>
        </w:rPr>
        <w:t>账簿</w:t>
      </w:r>
      <w:r>
        <w:rPr>
          <w:rFonts w:hint="eastAsia" w:ascii="宋体" w:hAnsi="宋体" w:eastAsia="宋体" w:cs="宋体"/>
        </w:rPr>
        <w:t>、会计报表及其他会计资料，定期装订成册，整理立档，并妥善保管。</w:t>
      </w:r>
    </w:p>
    <w:p>
      <w:pPr>
        <w:spacing w:line="560" w:lineRule="exact"/>
        <w:ind w:firstLine="803" w:firstLineChars="250"/>
        <w:rPr>
          <w:rFonts w:ascii="宋体" w:hAnsi="宋体" w:eastAsia="宋体" w:cs="宋体"/>
          <w:color w:val="000000"/>
          <w:kern w:val="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 xml:space="preserve">4、政府采购 </w:t>
      </w:r>
      <w:r>
        <w:rPr>
          <w:rFonts w:hint="eastAsia" w:ascii="宋体" w:hAnsi="宋体" w:eastAsia="宋体" w:cs="宋体"/>
        </w:rPr>
        <w:t>我局的政府采购工作均根据《</w:t>
      </w:r>
      <w:r>
        <w:rPr>
          <w:rFonts w:hint="eastAsia" w:ascii="宋体" w:hAnsi="宋体" w:eastAsia="宋体" w:cs="宋体"/>
          <w:lang w:eastAsia="zh-CN"/>
        </w:rPr>
        <w:t>中华人民共和国</w:t>
      </w:r>
      <w:r>
        <w:rPr>
          <w:rFonts w:hint="eastAsia" w:ascii="宋体" w:hAnsi="宋体" w:eastAsia="宋体" w:cs="宋体"/>
        </w:rPr>
        <w:t>政府采购法》有关规定，依法签订政府采购合同，按法定程序办理政府采购，正确选择采购方式公开招标。</w:t>
      </w:r>
    </w:p>
    <w:p>
      <w:pPr>
        <w:spacing w:line="560" w:lineRule="exact"/>
        <w:ind w:firstLine="642" w:firstLineChars="200"/>
        <w:rPr>
          <w:rFonts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>5、资产管理</w:t>
      </w: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0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</w:rPr>
        <w:t>2022年我局固定资产总额70.1877万元，本年新增固定资产价值1.503万元，包含新购电脑、LED屏等</w:t>
      </w:r>
    </w:p>
    <w:p>
      <w:pPr>
        <w:spacing w:line="560" w:lineRule="exact"/>
        <w:ind w:firstLine="642" w:firstLineChars="200"/>
        <w:rPr>
          <w:rFonts w:ascii="宋体" w:hAnsi="宋体" w:eastAsia="宋体" w:cs="宋体"/>
          <w:color w:val="000000"/>
          <w:kern w:val="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>6、信息公开</w:t>
      </w: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</w:rPr>
        <w:t>黑水县信访局决算、预算每年定期按规定在政府公开网站公开。</w:t>
      </w:r>
    </w:p>
    <w:p>
      <w:pPr>
        <w:spacing w:line="560" w:lineRule="exact"/>
        <w:ind w:firstLine="642" w:firstLineChars="200"/>
        <w:rPr>
          <w:rFonts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  <w:lang w:val="zh-CN"/>
        </w:rPr>
        <w:t>7、绩效评价及接受监督</w:t>
      </w:r>
      <w:r>
        <w:rPr>
          <w:rFonts w:hint="eastAsia" w:ascii="宋体" w:hAnsi="宋体" w:eastAsia="宋体" w:cs="宋体"/>
          <w:b/>
          <w:bCs/>
          <w:color w:val="000000"/>
          <w:kern w:val="0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</w:rPr>
        <w:t>我局每年按规定对本单位项目</w:t>
      </w:r>
      <w:r>
        <w:rPr>
          <w:rFonts w:hint="eastAsia" w:ascii="宋体" w:hAnsi="宋体" w:eastAsia="宋体" w:cs="宋体"/>
          <w:lang w:val="zh-CN"/>
        </w:rPr>
        <w:t>支出</w:t>
      </w:r>
      <w:r>
        <w:rPr>
          <w:rFonts w:hint="eastAsia" w:ascii="宋体" w:hAnsi="宋体" w:eastAsia="宋体" w:cs="宋体"/>
        </w:rPr>
        <w:t>及整体支出进行绩效评价；并依法接受财政部门监督监管。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四、评价结论及建议</w:t>
      </w:r>
    </w:p>
    <w:p>
      <w:pPr>
        <w:spacing w:line="560" w:lineRule="exact"/>
        <w:ind w:firstLine="480" w:firstLineChars="150"/>
        <w:jc w:val="lef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t>（一）评价结论。通过加强绩效预算，财政资金得到有效使用，行政效率得到提高，促进了各项工作顺利开展。</w:t>
      </w:r>
      <w:r>
        <w:rPr>
          <w:rFonts w:hint="eastAsia" w:ascii="宋体" w:hAnsi="宋体" w:eastAsia="宋体" w:cs="宋体"/>
          <w:color w:val="000000"/>
        </w:rPr>
        <w:t>结合工作开展情况，我局2022年度支出绩效综合评价自评得分95分。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（二）存在问题。一是单位工作任务重，财务人员紧缺，存在一人多岗。二是对财务人员的业务知识提升培训力度不够。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（三）改进建议。一是下一步我局将完善、明确和细化各项财务管理制度，并严格按制度执行；二是建议财政部门加大各单位会计人员业务能力提升的培训。</w:t>
      </w:r>
    </w:p>
    <w:p>
      <w:pPr>
        <w:spacing w:line="560" w:lineRule="exact"/>
        <w:rPr>
          <w:rFonts w:ascii="宋体" w:hAnsi="宋体" w:eastAsia="宋体" w:cs="宋体"/>
        </w:rPr>
      </w:pPr>
    </w:p>
    <w:p>
      <w:pPr>
        <w:spacing w:line="560" w:lineRule="exact"/>
        <w:ind w:firstLine="5120" w:firstLineChars="1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黑水县信访局</w:t>
      </w:r>
    </w:p>
    <w:p>
      <w:pPr>
        <w:widowControl/>
        <w:spacing w:line="560" w:lineRule="exact"/>
        <w:ind w:firstLine="6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2023年6月17日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A9"/>
    <w:rsid w:val="003A0ACB"/>
    <w:rsid w:val="00427E59"/>
    <w:rsid w:val="00C66CA9"/>
    <w:rsid w:val="00C92B2E"/>
    <w:rsid w:val="7B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1912</Characters>
  <Lines>15</Lines>
  <Paragraphs>4</Paragraphs>
  <TotalTime>0</TotalTime>
  <ScaleCrop>false</ScaleCrop>
  <LinksUpToDate>false</LinksUpToDate>
  <CharactersWithSpaces>2243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2023-08-28T21:41:00Z</dcterms:created>
  <dc:creator>xb21cn</dc:creator>
  <cp:lastModifiedBy>user</cp:lastModifiedBy>
  <dcterms:modified xsi:type="dcterms:W3CDTF">2023-08-30T16:06:32Z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D6197B86EDA9F25B88F8EE64073FD9B7</vt:lpwstr>
  </property>
</Properties>
</file>