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bookmarkStart w:id="0" w:name="G010000"/>
      <w:bookmarkStart w:id="1" w:name="_Toc15396616"/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黑水县信访接待中心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202</w:t>
      </w:r>
      <w:r>
        <w:rPr>
          <w:rFonts w:hint="eastAsia" w:eastAsia="方正小标宋_GBK" w:cs="Times New Roman"/>
          <w:bCs/>
          <w:sz w:val="44"/>
          <w:szCs w:val="44"/>
        </w:rPr>
        <w:t>2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年整体支出绩效评价报告</w:t>
      </w:r>
    </w:p>
    <w:bookmarkEnd w:id="0"/>
    <w:p>
      <w:pPr>
        <w:snapToGrid w:val="0"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520" w:lineRule="exact"/>
        <w:ind w:firstLine="608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一、部门（单位）概况</w:t>
      </w:r>
    </w:p>
    <w:p>
      <w:pPr>
        <w:snapToGrid w:val="0"/>
        <w:spacing w:line="520" w:lineRule="exact"/>
        <w:ind w:firstLine="608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（一）机构组成</w:t>
      </w:r>
    </w:p>
    <w:p>
      <w:pPr>
        <w:pStyle w:val="2"/>
        <w:ind w:firstLine="608" w:firstLineChars="200"/>
        <w:rPr>
          <w:rFonts w:ascii="仿宋_GB2312" w:hAnsi="仿宋" w:eastAsia="仿宋_GB2312" w:cs="Times New Roman"/>
          <w:b w:val="0"/>
          <w:bCs w:val="0"/>
          <w:color w:val="000000"/>
        </w:rPr>
      </w:pPr>
      <w:r>
        <w:rPr>
          <w:rFonts w:hint="eastAsia" w:ascii="仿宋_GB2312" w:hAnsi="仿宋" w:eastAsia="仿宋_GB2312" w:cs="Times New Roman"/>
          <w:b w:val="0"/>
          <w:bCs w:val="0"/>
          <w:color w:val="000000"/>
        </w:rPr>
        <w:t>黑水县信访接待中心无下属二级单位，本单位属其他事业单位，是信访局内设机构</w:t>
      </w:r>
    </w:p>
    <w:p>
      <w:pPr>
        <w:snapToGrid w:val="0"/>
        <w:spacing w:line="520" w:lineRule="exact"/>
        <w:ind w:firstLine="608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（二）机构职能</w:t>
      </w:r>
    </w:p>
    <w:p>
      <w:pPr>
        <w:snapToGrid w:val="0"/>
        <w:spacing w:line="520" w:lineRule="exact"/>
        <w:ind w:firstLine="623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负责处理群众来信、接待群众来访，向县委、县政府提供信访信息，开展调查研究，为领导科学、民主决策信访和群众工作服务。（2）承办县委、县政府及上级党委、政府及领导转办、批办的信访事项，督促检查领导的来信来访批示件落实情况。（3）协调处理群众越级上访、非正常上访和突发性信访事项。（4）协调乡镇、县级部门解决群众反映的突出问题，向乡镇、县级部门交办信访事项，负责协调处理跨乡镇、跨部门的重要信访问题。（5）督促、检查乡镇、县级部门落实交办事项的处理情况及贯彻执行党的群众路线、落实事关群众利益政策、维护群众合法权益的情况。</w:t>
      </w:r>
    </w:p>
    <w:p>
      <w:pPr>
        <w:snapToGrid w:val="0"/>
        <w:spacing w:line="52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（6）指导全县信访和群众工作，总结推广信访和群众工作经验，提出加强和改进信访和群众工作的意见和建议。（7）通报重大群众信访问题和群众信访事件。（8）完成县委、县政府交办的其他工作。</w:t>
      </w:r>
    </w:p>
    <w:p>
      <w:pPr>
        <w:snapToGrid w:val="0"/>
        <w:spacing w:line="520" w:lineRule="exact"/>
        <w:ind w:firstLine="608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（三）人员概况</w:t>
      </w:r>
    </w:p>
    <w:p>
      <w:pPr>
        <w:pStyle w:val="2"/>
        <w:ind w:firstLine="608" w:firstLineChars="200"/>
        <w:rPr>
          <w:rFonts w:ascii="仿宋_GB2312" w:hAnsi="仿宋" w:eastAsia="仿宋_GB2312" w:cs="Times New Roman"/>
          <w:b w:val="0"/>
          <w:bCs w:val="0"/>
          <w:color w:val="000000"/>
        </w:rPr>
      </w:pPr>
      <w:r>
        <w:rPr>
          <w:rFonts w:hint="eastAsia" w:ascii="宋体" w:hAnsi="宋体" w:eastAsia="宋体" w:cs="宋体"/>
        </w:rPr>
        <w:t>1．机构情况：</w:t>
      </w:r>
      <w:r>
        <w:rPr>
          <w:rFonts w:hint="eastAsia" w:ascii="仿宋_GB2312" w:hAnsi="仿宋" w:eastAsia="仿宋_GB2312" w:cs="Times New Roman"/>
          <w:b w:val="0"/>
          <w:bCs w:val="0"/>
          <w:color w:val="000000"/>
        </w:rPr>
        <w:t>黑水县信访接待中心无下属二级单位，本单位属其他事业单位，是信访局内设机构，</w:t>
      </w:r>
      <w:r>
        <w:rPr>
          <w:rFonts w:hint="eastAsia" w:ascii="宋体" w:hAnsi="宋体" w:eastAsia="宋体" w:cs="宋体"/>
          <w:b w:val="0"/>
        </w:rPr>
        <w:t>属于事业编制，事业编制数4名。</w:t>
      </w:r>
    </w:p>
    <w:p>
      <w:pPr>
        <w:snapToGrid w:val="0"/>
        <w:spacing w:line="520" w:lineRule="exact"/>
        <w:ind w:firstLine="608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2．在岗人员情况：中心年末实有人数3人，其中事业编制3名。</w:t>
      </w:r>
    </w:p>
    <w:p>
      <w:pPr>
        <w:snapToGrid w:val="0"/>
        <w:spacing w:line="520" w:lineRule="exact"/>
        <w:ind w:firstLine="608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二、部门财政资金收支情况</w:t>
      </w:r>
    </w:p>
    <w:p>
      <w:pPr>
        <w:snapToGrid w:val="0"/>
        <w:spacing w:line="520" w:lineRule="exact"/>
        <w:ind w:firstLine="608" w:firstLineChars="200"/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（一）部门财政资金收入情况</w:t>
      </w:r>
    </w:p>
    <w:p>
      <w:pPr>
        <w:snapToGrid w:val="0"/>
        <w:spacing w:line="520" w:lineRule="exact"/>
        <w:ind w:firstLine="608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1．本单位2022年年初预算安排收入27.46万元，本年实际收入54.16万元，本年实际收入与年初预算增加26.7万元，差异率49.3%。差异原因是预算详实、准确，人员经费增加。</w:t>
      </w:r>
    </w:p>
    <w:p>
      <w:pPr>
        <w:snapToGrid w:val="0"/>
        <w:spacing w:line="520" w:lineRule="exact"/>
        <w:ind w:firstLine="608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2．本年收入54.16万元，其中财政拨款收入54.16万元，占本年收入100%；年初无结转和结余。</w:t>
      </w:r>
    </w:p>
    <w:p>
      <w:pPr>
        <w:snapToGrid w:val="0"/>
        <w:spacing w:line="520" w:lineRule="exact"/>
        <w:ind w:firstLine="608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（二）部门财政资金支出情况</w:t>
      </w:r>
    </w:p>
    <w:p>
      <w:pPr>
        <w:snapToGrid w:val="0"/>
        <w:spacing w:line="520" w:lineRule="exact"/>
        <w:ind w:firstLine="608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1．本年预算支出54.16万元，本年决算数支出54.16万元，本年实际支出比预算支出增加26.7万元，差异率49.3%。增加主要原因是因为本年人员调资，社保缴费提高等人员经费增加。 </w:t>
      </w:r>
    </w:p>
    <w:p>
      <w:pPr>
        <w:snapToGrid w:val="0"/>
        <w:spacing w:line="520" w:lineRule="exact"/>
        <w:ind w:firstLine="63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 本年支出54.16万元，按支出性质分析：基本支出54.16万元，占本年总支出的100%，项目支出0万元，占本年总支出的0%；按支出经济分类：工资福利支出49.78万元，占本年支出91.91%，商品和服务支出4.38万元，占本年支出8.09%，对个人和家庭的补助0万元，占本年支出的00%，其他资本性支出0万元。</w:t>
      </w:r>
    </w:p>
    <w:p>
      <w:pPr>
        <w:snapToGrid w:val="0"/>
        <w:spacing w:line="520" w:lineRule="exact"/>
        <w:ind w:firstLine="608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三、部门整体预算绩效管理情况</w:t>
      </w:r>
      <w:bookmarkEnd w:id="1"/>
    </w:p>
    <w:p>
      <w:pPr>
        <w:snapToGrid w:val="0"/>
        <w:spacing w:line="520" w:lineRule="exact"/>
        <w:ind w:firstLine="608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（一）部门预算管理</w:t>
      </w:r>
    </w:p>
    <w:p>
      <w:pPr>
        <w:snapToGrid w:val="0"/>
        <w:spacing w:line="520" w:lineRule="exact"/>
        <w:ind w:firstLine="608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我中心按照县级部门预算编制通知和有关要求，对2022年的各项收入及支出作了认真的清理，真实、准确、全面、及时的完成年度预、决算工作；认真对绩效目标的填报，对专项预算进行分期、分批并结合实际提前细化，保障正常运行。 </w:t>
      </w:r>
    </w:p>
    <w:p>
      <w:pPr>
        <w:spacing w:line="520" w:lineRule="exact"/>
        <w:ind w:firstLine="608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（二）专项预算管理</w:t>
      </w:r>
    </w:p>
    <w:p>
      <w:pPr>
        <w:snapToGrid w:val="0"/>
        <w:spacing w:line="520" w:lineRule="exact"/>
        <w:ind w:firstLine="608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在县财政局相关股室的支持协调配合下，2022年县信访接待中心专项预算资金按年拨款，专项资金按实际发生情况调拨支付。2022年县信访接待中心专项经费拨款为0万元。</w:t>
      </w:r>
    </w:p>
    <w:p>
      <w:pPr>
        <w:snapToGrid w:val="0"/>
        <w:spacing w:line="520" w:lineRule="exact"/>
        <w:ind w:firstLine="608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（三）结果应用情况</w:t>
      </w:r>
    </w:p>
    <w:p>
      <w:pPr>
        <w:spacing w:line="520" w:lineRule="exact"/>
        <w:ind w:firstLine="760" w:firstLineChars="2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1. 内部控制制度健全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为规范我中心的财务行为，加强财务管理，根据《中华人民共和国会计法》、《中华人民共和国预算法》、《行政事业单位会计制度》等财经法规以及根据财政部印发的《关于开展行政事业单位内部控制基础性评价工作的通知》（财会〔2016〕11号），并结合我局的实际工作情况，制定并健全了收入管理制度、支出管理制度、财务管理制度、会计出纳岗位责任制、政府采购管理制度、合同管理制度、会计、出纳岗位职责明确。</w:t>
      </w:r>
    </w:p>
    <w:p>
      <w:pPr>
        <w:spacing w:line="520" w:lineRule="exact"/>
        <w:ind w:firstLine="608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 xml:space="preserve">、财务核算 </w:t>
      </w:r>
      <w:r>
        <w:rPr>
          <w:rFonts w:hint="eastAsia" w:ascii="宋体" w:hAnsi="宋体" w:eastAsia="宋体" w:cs="宋体"/>
          <w:sz w:val="32"/>
          <w:szCs w:val="32"/>
        </w:rPr>
        <w:t xml:space="preserve"> 严格依照《中华人民共和国会计法》、《财务规则》、《行政单位会计制度》</w:t>
      </w:r>
      <w:r>
        <w:rPr>
          <w:rFonts w:hint="eastAsia" w:ascii="宋体" w:hAnsi="宋体" w:eastAsia="宋体" w:cs="宋体"/>
          <w:sz w:val="32"/>
          <w:szCs w:val="32"/>
        </w:rPr>
        <w:t>《中华人民共和国会计法》</w:t>
      </w:r>
      <w:bookmarkStart w:id="2" w:name="_GoBack"/>
      <w:bookmarkEnd w:id="2"/>
      <w:r>
        <w:rPr>
          <w:rFonts w:hint="eastAsia" w:ascii="宋体" w:hAnsi="宋体" w:eastAsia="宋体" w:cs="宋体"/>
          <w:sz w:val="32"/>
          <w:szCs w:val="32"/>
        </w:rPr>
        <w:t>《行政事业单位财务管理办法》等规定制定出本单位各项财务制度《黑水县信访局财务管理制度》《黑水县信访局固定资产管理制度》等一系列财经规定，进行财务管理、核算、控制和监督。</w:t>
      </w:r>
    </w:p>
    <w:p>
      <w:pPr>
        <w:spacing w:line="520" w:lineRule="exact"/>
        <w:ind w:firstLine="760" w:firstLineChars="250"/>
        <w:rPr>
          <w:rFonts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3、账务管理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按照国家关于会计档案管理的规定和要求，对会计凭证、会计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账簿</w:t>
      </w:r>
      <w:r>
        <w:rPr>
          <w:rFonts w:hint="eastAsia" w:ascii="宋体" w:hAnsi="宋体" w:eastAsia="宋体" w:cs="宋体"/>
          <w:sz w:val="32"/>
          <w:szCs w:val="32"/>
        </w:rPr>
        <w:t>、会计报表及其他会计资料，定期装订成册，整理立档，并妥善保管。</w:t>
      </w:r>
    </w:p>
    <w:p>
      <w:pPr>
        <w:spacing w:line="520" w:lineRule="exact"/>
        <w:ind w:firstLine="760" w:firstLineChars="250"/>
        <w:rPr>
          <w:rFonts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4、政府采购 我</w:t>
      </w:r>
      <w:r>
        <w:rPr>
          <w:rFonts w:hint="eastAsia" w:ascii="宋体" w:hAnsi="宋体" w:eastAsia="宋体" w:cs="宋体"/>
          <w:sz w:val="32"/>
          <w:szCs w:val="32"/>
        </w:rPr>
        <w:t>中心的政府采购工作均根据《中华人民共和国政府采购法》有关规定，依法签订政府采购合同，按法定程序办理政府采购，正确选择采购方式公开招标。</w:t>
      </w:r>
    </w:p>
    <w:p>
      <w:pPr>
        <w:spacing w:line="520" w:lineRule="exact"/>
        <w:ind w:firstLine="608" w:firstLineChars="200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5、资产管理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2022年因中心为县信访局内设机构，故无固定资产。</w:t>
      </w:r>
    </w:p>
    <w:p>
      <w:pPr>
        <w:spacing w:line="520" w:lineRule="exact"/>
        <w:ind w:firstLine="608" w:firstLineChars="200"/>
        <w:rPr>
          <w:rFonts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6、信息公开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黑水县信访接待中心决算、预算每年定期按规定在政府公开网站公开。</w:t>
      </w:r>
    </w:p>
    <w:p>
      <w:pPr>
        <w:spacing w:line="520" w:lineRule="exact"/>
        <w:ind w:firstLine="608" w:firstLineChars="200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7、绩效评价及接受监督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我中心每年按规定对本单位项目</w:t>
      </w:r>
      <w:r>
        <w:rPr>
          <w:rFonts w:hint="eastAsia" w:ascii="宋体" w:hAnsi="宋体" w:eastAsia="宋体" w:cs="宋体"/>
          <w:sz w:val="32"/>
          <w:szCs w:val="32"/>
          <w:lang w:val="zh-CN"/>
        </w:rPr>
        <w:t>支出</w:t>
      </w:r>
      <w:r>
        <w:rPr>
          <w:rFonts w:hint="eastAsia" w:ascii="宋体" w:hAnsi="宋体" w:eastAsia="宋体" w:cs="宋体"/>
          <w:sz w:val="32"/>
          <w:szCs w:val="32"/>
        </w:rPr>
        <w:t>及整体支出进行绩效评价；并依法接受财政部门监督监管。</w:t>
      </w:r>
    </w:p>
    <w:p>
      <w:pPr>
        <w:snapToGrid w:val="0"/>
        <w:spacing w:line="520" w:lineRule="exact"/>
        <w:ind w:firstLine="608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四、评价结论及建议</w:t>
      </w:r>
    </w:p>
    <w:p>
      <w:pPr>
        <w:spacing w:line="520" w:lineRule="exact"/>
        <w:ind w:firstLine="456" w:firstLineChars="150"/>
        <w:jc w:val="left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（一）评价结论。通过加强绩效预算，财政资金得到有效使用，行政效率得到提高，促进了各项工作顺利开展。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结合工作开展情况，我局2022年度支出绩效综合评价自评得分95分。</w:t>
      </w:r>
    </w:p>
    <w:p>
      <w:pPr>
        <w:spacing w:line="520" w:lineRule="exact"/>
        <w:ind w:firstLine="608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（二）存在问题。一是单位工作任务重，财务人员紧缺，存在一人多岗。二是对财务人员的业务知识提升培训力度不够。</w:t>
      </w:r>
    </w:p>
    <w:p>
      <w:pPr>
        <w:spacing w:line="520" w:lineRule="exact"/>
        <w:ind w:firstLine="608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（三）改进建议。一是下一步我中心将完善、明确和细化各项财务管理制度，并严格按制度执行；二是建议财政部门加大各单位会计人员业务能力提升的培训。</w:t>
      </w:r>
    </w:p>
    <w:p>
      <w:pPr>
        <w:spacing w:line="52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520" w:lineRule="exact"/>
        <w:ind w:firstLine="4864" w:firstLineChars="16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黑水县信访接待中心</w:t>
      </w:r>
    </w:p>
    <w:p>
      <w:pPr>
        <w:pStyle w:val="5"/>
        <w:spacing w:line="520" w:lineRule="exact"/>
        <w:ind w:left="0" w:left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2023年6月17日        </w:t>
      </w:r>
      <w:r>
        <w:rPr>
          <w:rFonts w:hint="eastAsia"/>
        </w:rPr>
        <w:t xml:space="preserve">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AndChars" w:linePitch="319" w:charSpace="-34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HorizontalSpacing w:val="97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NDg5MDE1MTMzOGQ2NGViN2NiNzNlOTEwY2EyYWYifQ=="/>
  </w:docVars>
  <w:rsids>
    <w:rsidRoot w:val="49F35F7B"/>
    <w:rsid w:val="001311E0"/>
    <w:rsid w:val="00250B65"/>
    <w:rsid w:val="006B3D10"/>
    <w:rsid w:val="00931052"/>
    <w:rsid w:val="0096706E"/>
    <w:rsid w:val="00971034"/>
    <w:rsid w:val="00E41026"/>
    <w:rsid w:val="00FE1E18"/>
    <w:rsid w:val="010514A9"/>
    <w:rsid w:val="03011DC7"/>
    <w:rsid w:val="031A0493"/>
    <w:rsid w:val="04640655"/>
    <w:rsid w:val="047A5783"/>
    <w:rsid w:val="04A62BE8"/>
    <w:rsid w:val="08B0251C"/>
    <w:rsid w:val="0B955598"/>
    <w:rsid w:val="0CC36BF1"/>
    <w:rsid w:val="0D754339"/>
    <w:rsid w:val="0EEE56EB"/>
    <w:rsid w:val="0F736A56"/>
    <w:rsid w:val="101B2ABD"/>
    <w:rsid w:val="104A1F3F"/>
    <w:rsid w:val="10E04FEC"/>
    <w:rsid w:val="11A72C36"/>
    <w:rsid w:val="13826402"/>
    <w:rsid w:val="138861CC"/>
    <w:rsid w:val="13F00725"/>
    <w:rsid w:val="14AD490E"/>
    <w:rsid w:val="15373CF1"/>
    <w:rsid w:val="155147CA"/>
    <w:rsid w:val="15AB60E4"/>
    <w:rsid w:val="165C77FB"/>
    <w:rsid w:val="16F21C93"/>
    <w:rsid w:val="17F735C1"/>
    <w:rsid w:val="1877107C"/>
    <w:rsid w:val="18A84B5D"/>
    <w:rsid w:val="19360421"/>
    <w:rsid w:val="1A8861CA"/>
    <w:rsid w:val="1AB81E7E"/>
    <w:rsid w:val="1FA12306"/>
    <w:rsid w:val="2221489A"/>
    <w:rsid w:val="253B28B5"/>
    <w:rsid w:val="264D6D44"/>
    <w:rsid w:val="26847316"/>
    <w:rsid w:val="26E04E27"/>
    <w:rsid w:val="273B3040"/>
    <w:rsid w:val="28034592"/>
    <w:rsid w:val="2A37416D"/>
    <w:rsid w:val="2A5657A8"/>
    <w:rsid w:val="2AA41DB6"/>
    <w:rsid w:val="2B46437D"/>
    <w:rsid w:val="2CDD4252"/>
    <w:rsid w:val="2D5E440D"/>
    <w:rsid w:val="2F522CD5"/>
    <w:rsid w:val="31FF705D"/>
    <w:rsid w:val="32B055FC"/>
    <w:rsid w:val="34171A9A"/>
    <w:rsid w:val="35541B74"/>
    <w:rsid w:val="36D2752F"/>
    <w:rsid w:val="37227431"/>
    <w:rsid w:val="37AC3A8F"/>
    <w:rsid w:val="39C26CA9"/>
    <w:rsid w:val="3A2D189D"/>
    <w:rsid w:val="3C6B7ACC"/>
    <w:rsid w:val="3D5538B3"/>
    <w:rsid w:val="3D6550D5"/>
    <w:rsid w:val="3E1F286A"/>
    <w:rsid w:val="3F650802"/>
    <w:rsid w:val="3F850EA5"/>
    <w:rsid w:val="3FC714BD"/>
    <w:rsid w:val="401A783F"/>
    <w:rsid w:val="41336AA3"/>
    <w:rsid w:val="42DC527F"/>
    <w:rsid w:val="43CA414A"/>
    <w:rsid w:val="43EF67F6"/>
    <w:rsid w:val="44F70035"/>
    <w:rsid w:val="45277812"/>
    <w:rsid w:val="46C25E33"/>
    <w:rsid w:val="47925BC1"/>
    <w:rsid w:val="48C92409"/>
    <w:rsid w:val="48F20D25"/>
    <w:rsid w:val="49C56A6D"/>
    <w:rsid w:val="49F35F7B"/>
    <w:rsid w:val="4AFD4A1C"/>
    <w:rsid w:val="4AFD6820"/>
    <w:rsid w:val="4BE96317"/>
    <w:rsid w:val="4C982219"/>
    <w:rsid w:val="4CF64EF3"/>
    <w:rsid w:val="4D747AD7"/>
    <w:rsid w:val="4E6241B1"/>
    <w:rsid w:val="4FA931B8"/>
    <w:rsid w:val="510A099B"/>
    <w:rsid w:val="51E90342"/>
    <w:rsid w:val="52E45A98"/>
    <w:rsid w:val="552F63B7"/>
    <w:rsid w:val="55366385"/>
    <w:rsid w:val="555B64D8"/>
    <w:rsid w:val="57E52089"/>
    <w:rsid w:val="580E05A5"/>
    <w:rsid w:val="5A102236"/>
    <w:rsid w:val="5CEA7E5C"/>
    <w:rsid w:val="5DA40EF5"/>
    <w:rsid w:val="5DF7516B"/>
    <w:rsid w:val="5E215A27"/>
    <w:rsid w:val="5F021772"/>
    <w:rsid w:val="606029B0"/>
    <w:rsid w:val="60B95251"/>
    <w:rsid w:val="62832BCA"/>
    <w:rsid w:val="63520F1A"/>
    <w:rsid w:val="63D113E6"/>
    <w:rsid w:val="63E75F2A"/>
    <w:rsid w:val="64DA7521"/>
    <w:rsid w:val="65544C6C"/>
    <w:rsid w:val="659D60F1"/>
    <w:rsid w:val="673D116E"/>
    <w:rsid w:val="68A6747C"/>
    <w:rsid w:val="69F767C2"/>
    <w:rsid w:val="6B213AC5"/>
    <w:rsid w:val="6BC743D4"/>
    <w:rsid w:val="6C6D2C2B"/>
    <w:rsid w:val="6D0D5F7A"/>
    <w:rsid w:val="6D8D1A6E"/>
    <w:rsid w:val="7035456C"/>
    <w:rsid w:val="70BB0750"/>
    <w:rsid w:val="73592207"/>
    <w:rsid w:val="749D4ED7"/>
    <w:rsid w:val="75CA2B92"/>
    <w:rsid w:val="75FB202A"/>
    <w:rsid w:val="76301135"/>
    <w:rsid w:val="764678FC"/>
    <w:rsid w:val="76DD68F5"/>
    <w:rsid w:val="78924995"/>
    <w:rsid w:val="790864FC"/>
    <w:rsid w:val="7A73769A"/>
    <w:rsid w:val="7B555B44"/>
    <w:rsid w:val="7BD96C97"/>
    <w:rsid w:val="7C101D47"/>
    <w:rsid w:val="7C2A24BA"/>
    <w:rsid w:val="7CF16F95"/>
    <w:rsid w:val="7F33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Lines="30"/>
    </w:pPr>
    <w:rPr>
      <w:rFonts w:ascii="仿宋_GB2312" w:eastAsia="仿宋_GB2312"/>
      <w:kern w:val="0"/>
      <w:sz w:val="30"/>
    </w:rPr>
  </w:style>
  <w:style w:type="paragraph" w:styleId="4">
    <w:name w:val="Body Text Indent"/>
    <w:basedOn w:val="1"/>
    <w:next w:val="5"/>
    <w:qFormat/>
    <w:uiPriority w:val="99"/>
    <w:pPr>
      <w:spacing w:after="120"/>
      <w:ind w:left="420" w:leftChars="200"/>
    </w:pPr>
    <w:rPr>
      <w:rFonts w:cs="黑体"/>
      <w:szCs w:val="22"/>
    </w:rPr>
  </w:style>
  <w:style w:type="paragraph" w:styleId="5">
    <w:name w:val="Body Text First Indent 2"/>
    <w:basedOn w:val="4"/>
    <w:next w:val="1"/>
    <w:qFormat/>
    <w:uiPriority w:val="99"/>
    <w:pPr>
      <w:ind w:firstLine="420"/>
    </w:pPr>
    <w:rPr>
      <w:sz w:val="28"/>
      <w:szCs w:val="2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PlainText"/>
    <w:basedOn w:val="14"/>
    <w:next w:val="15"/>
    <w:qFormat/>
    <w:uiPriority w:val="0"/>
    <w:pPr>
      <w:textAlignment w:val="baseline"/>
    </w:pPr>
    <w:rPr>
      <w:rFonts w:ascii="宋体" w:hAnsi="Courier New" w:eastAsia="仿宋"/>
      <w:kern w:val="0"/>
      <w:sz w:val="32"/>
      <w:szCs w:val="21"/>
    </w:rPr>
  </w:style>
  <w:style w:type="paragraph" w:customStyle="1" w:styleId="14">
    <w:name w:val="正文11"/>
    <w:next w:val="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Index5"/>
    <w:basedOn w:val="1"/>
    <w:next w:val="1"/>
    <w:qFormat/>
    <w:uiPriority w:val="0"/>
    <w:pPr>
      <w:ind w:left="1680"/>
      <w:textAlignment w:val="baseline"/>
    </w:pPr>
  </w:style>
  <w:style w:type="paragraph" w:customStyle="1" w:styleId="16">
    <w:name w:val="普通(网站) Char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17">
    <w:name w:val="标题 2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320</Words>
  <Characters>1824</Characters>
  <Lines>15</Lines>
  <Paragraphs>4</Paragraphs>
  <TotalTime>0</TotalTime>
  <ScaleCrop>false</ScaleCrop>
  <LinksUpToDate>false</LinksUpToDate>
  <CharactersWithSpaces>2140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2022-01-05T15:20:00Z</dcterms:created>
  <dc:creator>蓝桥路远</dc:creator>
  <cp:lastModifiedBy>user</cp:lastModifiedBy>
  <cp:lastPrinted>2023-03-31T17:55:00Z</cp:lastPrinted>
  <dcterms:modified xsi:type="dcterms:W3CDTF">2023-08-30T15:28:14Z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08CDA8EFBDE44CE1B97CB7E4AB7E862C_13</vt:lpwstr>
  </property>
</Properties>
</file>