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hAnsi="黑体" w:eastAsia="仿宋_GB2312" w:cs="方正小标宋简体"/>
          <w:b/>
          <w:sz w:val="32"/>
          <w:szCs w:val="32"/>
        </w:rPr>
      </w:pPr>
      <w:bookmarkStart w:id="0" w:name="_Toc15396616"/>
      <w:r>
        <w:rPr>
          <w:rFonts w:hint="eastAsia" w:ascii="仿宋_GB2312" w:hAnsi="黑体" w:eastAsia="仿宋_GB2312" w:cs="方正小标宋简体"/>
          <w:b/>
          <w:sz w:val="32"/>
          <w:szCs w:val="32"/>
          <w:lang w:eastAsia="zh-CN"/>
        </w:rPr>
        <w:t>黑水县信访局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20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23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年部门</w:t>
      </w:r>
    </w:p>
    <w:p>
      <w:pPr>
        <w:spacing w:line="600" w:lineRule="exact"/>
        <w:jc w:val="center"/>
        <w:outlineLvl w:val="0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整体支出绩效评价报告</w:t>
      </w:r>
      <w:bookmarkEnd w:id="0"/>
    </w:p>
    <w:p>
      <w:pPr>
        <w:spacing w:line="580" w:lineRule="exact"/>
        <w:ind w:firstLine="642" w:firstLineChars="200"/>
        <w:rPr>
          <w:rFonts w:ascii="仿宋_GB2312" w:hAnsi="黑体" w:eastAsia="仿宋_GB2312" w:cs="黑体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一、部门（单位）概况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（一）机构组成。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黑水县信访局下设1个内设机构：信访接待中心；内设2个股室：综合股、督查督办股。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机构职能。</w:t>
      </w:r>
    </w:p>
    <w:p>
      <w:pPr>
        <w:snapToGrid w:val="0"/>
        <w:spacing w:line="560" w:lineRule="exact"/>
        <w:ind w:firstLine="62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）负责处理群众来信、接待群众来访，向县委、县政府提供信访信息，开展调查研究，为领导科学、民主决策信访和群众工作服务。（2）承办县委、县政府及上级党委、政府转办、批办的信访事项，督促检查领导的来信来访批示件落实情况。（3）协调处理群众越级上访、非正常上访和突发性信访事项。（4）协调乡镇、县级部门解决群众反映的突出问题，向乡镇、县级部门交办信访事项，负责协调处理跨乡镇、跨部门的重要信访问题。（5）督促、检查乡镇、县级部门落实交办事项的处理情况及贯彻执行党的群众路线、落实事关群众利益政策、维护群众合法权益的情况。</w:t>
      </w:r>
    </w:p>
    <w:p>
      <w:pPr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（6）指导全县信访和群众工作，总结推广信访和群众工作经验，提出加强和改进信访和群众工作的意见和建议。（7）通报重大群众信访问题和群众信访事件。（8）完成县委、县政府交办的其他工作。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（三）人员概况。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编制6名（其中行政编制4名，行政工勤编制2名）；内设1个信访接访中心，属于事业编制，事业编制数4名。我局年末实有人数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人，其中行政编制5名(其中行政编制4名，行政工勤1名)；事业编制3名。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（一）部门财政资金收入情况。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1．本单位202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年年初预算安排收入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166.96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万元，本年实际收入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166.96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万元，本年实际收入与年初预算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无差异。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本年收入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166.96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166.96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万元，占本年收入的100%。</w:t>
      </w:r>
    </w:p>
    <w:p>
      <w:pPr>
        <w:spacing w:line="580" w:lineRule="exact"/>
        <w:ind w:firstLine="320" w:firstLineChars="1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（二）部门财政资金支出情况。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1．本年预算支出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166.96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万元，本年决算数支出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166.96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万元，本年实际收入与年初预算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无差异。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本年支出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166.96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156.15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万元，占本年总支出的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93.53</w:t>
      </w:r>
      <w:r>
        <w:rPr>
          <w:rFonts w:hint="eastAsia" w:ascii="仿宋_GB2312" w:hAnsi="仿宋_GB2312" w:eastAsia="仿宋_GB2312" w:cs="仿宋_GB2312"/>
          <w:sz w:val="32"/>
          <w:szCs w:val="32"/>
        </w:rPr>
        <w:t>%，项目支出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10.81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万元，占本年总支出的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6.47</w:t>
      </w:r>
      <w:r>
        <w:rPr>
          <w:rFonts w:hint="eastAsia" w:ascii="仿宋_GB2312" w:hAnsi="仿宋_GB2312" w:eastAsia="仿宋_GB2312" w:cs="仿宋_GB2312"/>
          <w:sz w:val="32"/>
          <w:szCs w:val="32"/>
        </w:rPr>
        <w:t>%，按支出经济分类：工资福利支出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137.69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万元，占本年总支出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88.18</w:t>
      </w:r>
      <w:r>
        <w:rPr>
          <w:rFonts w:hint="eastAsia" w:ascii="仿宋_GB2312" w:hAnsi="仿宋_GB2312" w:eastAsia="仿宋_GB2312" w:cs="仿宋_GB2312"/>
          <w:sz w:val="32"/>
          <w:szCs w:val="32"/>
        </w:rPr>
        <w:t>%，商品和服务支出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28.74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万元，占本年总支出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17.21</w:t>
      </w:r>
      <w:r>
        <w:rPr>
          <w:rFonts w:hint="eastAsia" w:ascii="仿宋_GB2312" w:hAnsi="仿宋_GB2312" w:eastAsia="仿宋_GB2312" w:cs="仿宋_GB2312"/>
          <w:sz w:val="32"/>
          <w:szCs w:val="32"/>
        </w:rPr>
        <w:t>%，对个人和家庭的补助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0.53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万元，占本年总支出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%。    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三、部门整体预算绩效管理情况（根据适用指标体系进行调整）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（一）部门预算管理。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我局按照县级部门预算编制通知和有关要求，对202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年的各项收入及支出作了认真的清理，真实、准确、全面、及时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地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完成年度预、决算工作；认真对绩效目标的填报，对专项预算进行分期、分批并结合实际提前细化，保障正常运行。 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（二）专项预算管理。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在县财政局相关股室的支持协调配合下，202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年县信访局专项预算资金按年拨款，专项资金按实际发生情况调拨支付。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（三）结果应用情况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 xml:space="preserve">1. 内部控制制度健全  </w:t>
      </w:r>
      <w:r>
        <w:rPr>
          <w:rFonts w:hint="eastAsia" w:ascii="仿宋_GB2312" w:hAnsi="仿宋" w:eastAsia="仿宋_GB2312" w:cs="仿宋_GB2312"/>
          <w:sz w:val="32"/>
          <w:szCs w:val="32"/>
        </w:rPr>
        <w:t>为规范我局的财务行为，加强财务管理，根据《中华人民共和国会计法》、《中华人民共和国预算法》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《行政事业单位会计制度》等财经法规以及根据财政部印发的《关于开展行政事业单位内部控制基础性评价工作的通知》（财会〔2016〕11号），并结合我局的实际工作情况，制定并健全了收入管理制度、支出管理制度、财务管理制度、会计出纳岗位责任制、政府采购管理制度、合同管理制度、会计、出纳岗位职责明确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 xml:space="preserve">2、财务核算 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严格依照《中华人民共和国会计法》、《财务规则》、《行政单位会计制度》《中华人民共和国会计法》《行政事业单位财务管理办法》等规定制定出本单位各项财务制度《黑水县信访局财务管理制度》《黑水县信访局固定资产管理制度》等一系列财经规定，进行财务管理、核算、控制和监督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 xml:space="preserve">3、账务管理 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按照国家关于会计档案管理的规定和要求，对会计凭证、会计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账簿</w:t>
      </w:r>
      <w:r>
        <w:rPr>
          <w:rFonts w:hint="eastAsia" w:ascii="仿宋_GB2312" w:hAnsi="仿宋" w:eastAsia="仿宋_GB2312" w:cs="仿宋_GB2312"/>
          <w:sz w:val="32"/>
          <w:szCs w:val="32"/>
        </w:rPr>
        <w:t>、会计报表及其他会计资料，定期装订成册，整理立档，并妥善保管。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 xml:space="preserve">4、政府采购 </w:t>
      </w:r>
      <w:r>
        <w:rPr>
          <w:rFonts w:hint="eastAsia" w:ascii="仿宋_GB2312" w:hAnsi="仿宋" w:eastAsia="仿宋_GB2312" w:cs="仿宋_GB2312"/>
          <w:sz w:val="32"/>
          <w:szCs w:val="32"/>
        </w:rPr>
        <w:t>我局的政府采购工作均根据《中华人民共和国政府采购法》有关规定，依法签订政府采购合同，按法定程序办理政府采购，正确选择采购方式公开招标。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5、资产管理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 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年我局固定资产总额7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1.51</w:t>
      </w:r>
      <w:r>
        <w:rPr>
          <w:rFonts w:hint="eastAsia" w:ascii="仿宋_GB2312" w:hAnsi="仿宋" w:eastAsia="仿宋_GB2312" w:cs="仿宋_GB2312"/>
          <w:sz w:val="32"/>
          <w:szCs w:val="32"/>
        </w:rPr>
        <w:t>万元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6、信息公开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 黑水县信访局决算、预算每年定期按规定在政府</w:t>
      </w:r>
      <w:bookmarkStart w:id="1" w:name="_GoBack"/>
      <w:bookmarkEnd w:id="1"/>
      <w:r>
        <w:rPr>
          <w:rFonts w:hint="eastAsia" w:ascii="仿宋_GB2312" w:hAnsi="仿宋" w:eastAsia="仿宋_GB2312" w:cs="仿宋_GB2312"/>
          <w:sz w:val="32"/>
          <w:szCs w:val="32"/>
        </w:rPr>
        <w:t>网站公开。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7、绩效评价及接受监督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 我局每年按规定对本单位项目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支出</w:t>
      </w:r>
      <w:r>
        <w:rPr>
          <w:rFonts w:hint="eastAsia" w:ascii="仿宋_GB2312" w:hAnsi="仿宋" w:eastAsia="仿宋_GB2312" w:cs="仿宋_GB2312"/>
          <w:sz w:val="32"/>
          <w:szCs w:val="32"/>
        </w:rPr>
        <w:t>及整体支出进行绩效评价；并依法接受财政部门监督监管。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四、评价结论及建议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（一）评价结论。通过加强绩效预算，财政资金得到有效使用，行政效率得到提高，促进了各项工作顺利开展。结合工作开展情况，我局202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年度支出绩效综合评价自评得分95分。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（二）存在问题。一是单位工作任务重，财务人员紧缺，存在一人多岗。二是对财务人员的业务知识提升培训力度不够。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（三）改进建议。一是下一步我局将完善、明确和细化各项财务管理制度，并严格按制度执行；二是建议财政部门加大各单位会计人员业务能力提升的培训。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spacing w:line="580" w:lineRule="exact"/>
        <w:ind w:firstLine="5760" w:firstLineChars="18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黑水县信访局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日     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B3B143"/>
    <w:multiLevelType w:val="singleLevel"/>
    <w:tmpl w:val="0FB3B14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4MjVkYWU3M2RjMTZhYjlmYjgxN2MyMGMzYzUxMzkifQ=="/>
  </w:docVars>
  <w:rsids>
    <w:rsidRoot w:val="00491B22"/>
    <w:rsid w:val="00291808"/>
    <w:rsid w:val="00491B22"/>
    <w:rsid w:val="0052390C"/>
    <w:rsid w:val="1C64036F"/>
    <w:rsid w:val="34EB1F43"/>
    <w:rsid w:val="36435EC2"/>
    <w:rsid w:val="4DD97D2F"/>
    <w:rsid w:val="54B90E67"/>
    <w:rsid w:val="60D032A5"/>
    <w:rsid w:val="6E75596B"/>
    <w:rsid w:val="75BF4874"/>
    <w:rsid w:val="BFBFF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1023</Words>
  <Characters>1113</Characters>
  <Lines>2</Lines>
  <Paragraphs>1</Paragraphs>
  <TotalTime>4</TotalTime>
  <ScaleCrop>false</ScaleCrop>
  <LinksUpToDate>false</LinksUpToDate>
  <CharactersWithSpaces>1121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dcterms:modified xsi:type="dcterms:W3CDTF">2025-02-18T11:40:05Z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28B557A621214BB89C28C3C5CCF70751_12</vt:lpwstr>
  </property>
</Properties>
</file>