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黑水县人工影响天气办公室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2018年决算支出0万元，较2017年决算持平，主要原因是厉行节约。其中：国内公务接待费0万元，共计0批次共 0人；国（境）外公务接待费0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2018年决算支出0万元，较2017年决算持平。主要原因：厉行节约。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人工影响天气办公室财政拨款“三公”经费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128B1"/>
    <w:rsid w:val="003F1AE8"/>
    <w:rsid w:val="00612AC5"/>
    <w:rsid w:val="006615A7"/>
    <w:rsid w:val="007153A1"/>
    <w:rsid w:val="00C32EE5"/>
    <w:rsid w:val="00C97AC3"/>
    <w:rsid w:val="00D61CD1"/>
    <w:rsid w:val="2F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71</Words>
  <Characters>409</Characters>
  <Lines>3</Lines>
  <Paragraphs>1</Paragraphs>
  <TotalTime>5</TotalTime>
  <ScaleCrop>false</ScaleCrop>
  <LinksUpToDate>false</LinksUpToDate>
  <CharactersWithSpaces>479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子攸</cp:lastModifiedBy>
  <cp:lastPrinted>2019-09-02T02:15:46Z</cp:lastPrinted>
  <dcterms:modified xsi:type="dcterms:W3CDTF">2019-09-02T02:19:28Z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