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_GBK" w:hAnsi="宋体" w:eastAsia="方正小标宋_GBK" w:cs="宋体"/>
          <w:bCs/>
          <w:sz w:val="44"/>
          <w:szCs w:val="44"/>
        </w:rPr>
      </w:pPr>
      <w:bookmarkStart w:id="0" w:name="_Toc15396616"/>
    </w:p>
    <w:p>
      <w:pPr>
        <w:spacing w:line="600" w:lineRule="exact"/>
        <w:jc w:val="center"/>
        <w:outlineLvl w:val="0"/>
        <w:rPr>
          <w:rFonts w:ascii="方正小标宋_GBK" w:hAnsi="宋体" w:eastAsia="方正小标宋_GBK" w:cs="宋体"/>
          <w:bCs/>
          <w:sz w:val="44"/>
          <w:szCs w:val="44"/>
        </w:rPr>
      </w:pPr>
      <w:r>
        <w:rPr>
          <w:rFonts w:hint="eastAsia" w:ascii="方正小标宋简体" w:eastAsia="方正小标宋简体"/>
          <w:b/>
          <w:color w:val="FF0000"/>
          <w:w w:val="80"/>
          <w:sz w:val="56"/>
          <w:szCs w:val="56"/>
        </w:rPr>
        <w:t>黑水防雷和人工影响天气服务中心</w:t>
      </w:r>
    </w:p>
    <w:p>
      <w:pPr>
        <w:spacing w:line="600" w:lineRule="exact"/>
        <w:jc w:val="center"/>
        <w:outlineLvl w:val="0"/>
        <w:rPr>
          <w:rFonts w:ascii="方正小标宋_GBK" w:hAnsi="宋体" w:eastAsia="方正小标宋_GBK" w:cs="宋体"/>
          <w:bCs/>
          <w:sz w:val="44"/>
          <w:szCs w:val="44"/>
        </w:rPr>
      </w:pPr>
      <w:r>
        <w:rPr>
          <w:rFonts w:ascii="仿宋_GB2312" w:eastAsia="仿宋_GB2312"/>
          <w:b/>
          <w:sz w:val="32"/>
          <w:szCs w:val="32"/>
        </w:rPr>
        <mc:AlternateContent>
          <mc:Choice Requires="wps">
            <w:drawing>
              <wp:anchor distT="0" distB="0" distL="114300" distR="114300" simplePos="0" relativeHeight="251659264" behindDoc="1" locked="0" layoutInCell="1" allowOverlap="1">
                <wp:simplePos x="0" y="0"/>
                <wp:positionH relativeFrom="column">
                  <wp:posOffset>-274955</wp:posOffset>
                </wp:positionH>
                <wp:positionV relativeFrom="page">
                  <wp:posOffset>1920875</wp:posOffset>
                </wp:positionV>
                <wp:extent cx="6050280" cy="0"/>
                <wp:effectExtent l="0" t="26670" r="7620" b="30480"/>
                <wp:wrapNone/>
                <wp:docPr id="4" name="直接连接符 4"/>
                <wp:cNvGraphicFramePr/>
                <a:graphic xmlns:a="http://schemas.openxmlformats.org/drawingml/2006/main">
                  <a:graphicData uri="http://schemas.microsoft.com/office/word/2010/wordprocessingShape">
                    <wps:wsp>
                      <wps:cNvCnPr/>
                      <wps:spPr>
                        <a:xfrm>
                          <a:off x="0" y="0"/>
                          <a:ext cx="6050280" cy="0"/>
                        </a:xfrm>
                        <a:prstGeom prst="line">
                          <a:avLst/>
                        </a:prstGeom>
                        <a:ln w="53975"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65pt;margin-top:151.25pt;height:0pt;width:476.4pt;mso-position-vertical-relative:page;z-index:-251657216;mso-width-relative:page;mso-height-relative:page;" filled="f" stroked="t" coordsize="21600,21600" o:gfxdata="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paksEvkBAADtAwAADgAAAAAAAAABACAA&#10;AAA7AQAAZHJzL2Uyb0RvYy54bWxQSwECFAAUAAAACACHTuJAXNCg49YAAAALAQAADwAAAAAAAAAB&#10;ACAAAAA4AAAAZHJzL2Rvd25yZXYueG1sUEsFBgAAAAAGAAYAWQEAAKYFAAAAAA==&#10;">
                <v:fill on="f" focussize="0,0"/>
                <v:stroke weight="4.25pt" color="#FF0000" linestyle="thickThin" joinstyle="round"/>
                <v:imagedata o:title=""/>
                <o:lock v:ext="edit" aspectratio="f"/>
              </v:line>
            </w:pict>
          </mc:Fallback>
        </mc:AlternateContent>
      </w:r>
    </w:p>
    <w:p>
      <w:pPr>
        <w:spacing w:line="600" w:lineRule="exact"/>
        <w:jc w:val="center"/>
        <w:outlineLvl w:val="0"/>
        <w:rPr>
          <w:rFonts w:ascii="方正小标宋_GBK" w:hAnsi="宋体" w:eastAsia="方正小标宋_GBK" w:cs="宋体"/>
          <w:bCs/>
          <w:sz w:val="44"/>
          <w:szCs w:val="44"/>
        </w:rPr>
      </w:pPr>
      <w:r>
        <w:rPr>
          <w:rFonts w:hint="eastAsia" w:ascii="方正小标宋_GBK" w:hAnsi="宋体" w:eastAsia="方正小标宋_GBK" w:cs="宋体"/>
          <w:bCs/>
          <w:sz w:val="44"/>
          <w:szCs w:val="44"/>
        </w:rPr>
        <w:t>黑水防雷和人工影响天气服务中心</w:t>
      </w:r>
    </w:p>
    <w:p>
      <w:pPr>
        <w:spacing w:line="600" w:lineRule="exact"/>
        <w:jc w:val="center"/>
        <w:outlineLvl w:val="0"/>
        <w:rPr>
          <w:rFonts w:ascii="方正小标宋_GBK" w:hAnsi="宋体" w:eastAsia="方正小标宋_GBK" w:cs="宋体"/>
          <w:bCs/>
          <w:sz w:val="44"/>
          <w:szCs w:val="44"/>
        </w:rPr>
      </w:pPr>
      <w:r>
        <w:rPr>
          <w:rFonts w:hint="eastAsia" w:ascii="方正小标宋_GBK" w:hAnsi="宋体" w:eastAsia="方正小标宋_GBK" w:cs="宋体"/>
          <w:bCs/>
          <w:sz w:val="44"/>
          <w:szCs w:val="44"/>
        </w:rPr>
        <w:t>部门整体支出绩效评价报告</w:t>
      </w:r>
      <w:bookmarkEnd w:id="0"/>
    </w:p>
    <w:p>
      <w:pPr>
        <w:spacing w:line="580" w:lineRule="exact"/>
        <w:ind w:firstLine="642" w:firstLineChars="200"/>
        <w:rPr>
          <w:rFonts w:ascii="仿宋_GB2312" w:hAnsi="黑体" w:eastAsia="仿宋_GB2312" w:cs="黑体"/>
          <w:b/>
          <w:sz w:val="32"/>
          <w:szCs w:val="32"/>
        </w:rPr>
      </w:pP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一、部门（单位）概况</w:t>
      </w:r>
    </w:p>
    <w:p>
      <w:pPr>
        <w:spacing w:line="560" w:lineRule="exact"/>
        <w:ind w:firstLine="642" w:firstLineChars="200"/>
        <w:rPr>
          <w:rFonts w:ascii="仿宋_GB2312" w:hAnsi="仿宋_GB2312" w:eastAsia="仿宋_GB2312" w:cs="仿宋_GB2312"/>
          <w:sz w:val="32"/>
          <w:szCs w:val="32"/>
        </w:rPr>
      </w:pPr>
      <w:r>
        <w:rPr>
          <w:rFonts w:hint="eastAsia" w:ascii="楷体_GB2312" w:hAnsi="仿宋" w:eastAsia="楷体_GB2312" w:cs="仿宋"/>
          <w:b/>
          <w:bCs/>
          <w:sz w:val="32"/>
          <w:szCs w:val="32"/>
        </w:rPr>
        <w:t>（一）机构组成。</w:t>
      </w:r>
      <w:r>
        <w:rPr>
          <w:rFonts w:hint="eastAsia" w:ascii="仿宋_GB2312" w:hAnsi="仿宋_GB2312" w:eastAsia="仿宋_GB2312" w:cs="仿宋_GB2312"/>
          <w:sz w:val="32"/>
          <w:szCs w:val="32"/>
        </w:rPr>
        <w:t>黑水防雷和人工影响天气服务中心为黑水县气象局股级单位。</w:t>
      </w:r>
    </w:p>
    <w:p>
      <w:pPr>
        <w:spacing w:line="560" w:lineRule="exact"/>
        <w:ind w:firstLine="642" w:firstLineChars="200"/>
      </w:pPr>
      <w:r>
        <w:rPr>
          <w:rFonts w:hint="eastAsia" w:ascii="楷体_GB2312" w:hAnsi="仿宋" w:eastAsia="楷体_GB2312" w:cs="仿宋"/>
          <w:b/>
          <w:bCs/>
          <w:sz w:val="32"/>
          <w:szCs w:val="32"/>
        </w:rPr>
        <w:t>（二）人员概况。</w:t>
      </w:r>
      <w:r>
        <w:rPr>
          <w:rFonts w:hint="eastAsia" w:ascii="仿宋_GB2312" w:hAnsi="仿宋" w:eastAsia="仿宋_GB2312" w:cs="仿宋"/>
          <w:sz w:val="32"/>
          <w:szCs w:val="32"/>
        </w:rPr>
        <w:t>总编制1名，其中：事业编制</w:t>
      </w:r>
      <w:r>
        <w:rPr>
          <w:rFonts w:ascii="仿宋_GB2312" w:hAnsi="仿宋" w:eastAsia="仿宋_GB2312" w:cs="仿宋"/>
          <w:sz w:val="32"/>
          <w:szCs w:val="32"/>
        </w:rPr>
        <w:t>1</w:t>
      </w:r>
      <w:r>
        <w:rPr>
          <w:rFonts w:hint="eastAsia" w:ascii="仿宋_GB2312" w:hAnsi="仿宋" w:eastAsia="仿宋_GB2312" w:cs="仿宋"/>
          <w:sz w:val="32"/>
          <w:szCs w:val="32"/>
        </w:rPr>
        <w:t>人。在职人员总数1名。</w:t>
      </w:r>
    </w:p>
    <w:p>
      <w:pPr>
        <w:spacing w:line="560" w:lineRule="exact"/>
        <w:ind w:firstLine="642" w:firstLineChars="200"/>
        <w:rPr>
          <w:rFonts w:ascii="楷体_GB2312" w:hAnsi="仿宋" w:eastAsia="楷体_GB2312" w:cs="仿宋"/>
          <w:b/>
          <w:bCs/>
          <w:sz w:val="32"/>
          <w:szCs w:val="32"/>
        </w:rPr>
      </w:pPr>
      <w:r>
        <w:rPr>
          <w:rFonts w:hint="eastAsia" w:ascii="楷体_GB2312" w:hAnsi="仿宋" w:eastAsia="楷体_GB2312" w:cs="仿宋"/>
          <w:b/>
          <w:bCs/>
          <w:sz w:val="32"/>
          <w:szCs w:val="32"/>
        </w:rPr>
        <w:t>（三）机构职能。</w:t>
      </w:r>
      <w:r>
        <w:rPr>
          <w:rFonts w:hint="eastAsia" w:ascii="仿宋_GB2312" w:hAnsi="仿宋_GB2312" w:eastAsia="仿宋_GB2312" w:cs="仿宋_GB2312"/>
          <w:sz w:val="32"/>
          <w:szCs w:val="32"/>
        </w:rPr>
        <w:t>黑水防雷和人工影响天气服务中心承担全县范围内的人工增雨雪，防雹、消雾、森林防灭火、消除公共污染等活动。负责全县防雷工程设施的实际施工、检测，开展防雷技术研究，规范防雷设施，进行防雷管理。防御雷电管理：防御雷电装置检测，防御雷电宣传，雷电灾情调查与鉴定。</w:t>
      </w:r>
    </w:p>
    <w:p>
      <w:pPr>
        <w:spacing w:line="580" w:lineRule="exact"/>
        <w:ind w:firstLine="642" w:firstLineChars="200"/>
        <w:rPr>
          <w:rFonts w:ascii="黑体" w:hAnsi="黑体" w:eastAsia="黑体" w:cs="黑体"/>
          <w:b/>
          <w:sz w:val="32"/>
          <w:szCs w:val="32"/>
        </w:rPr>
      </w:pPr>
      <w:r>
        <w:rPr>
          <w:rFonts w:hint="eastAsia" w:ascii="黑体" w:hAnsi="黑体" w:eastAsia="黑体" w:cs="黑体"/>
          <w:b/>
          <w:sz w:val="32"/>
          <w:szCs w:val="32"/>
        </w:rPr>
        <w:t>二、部门财政资金收支情况</w:t>
      </w:r>
    </w:p>
    <w:p>
      <w:pPr>
        <w:spacing w:line="580" w:lineRule="exact"/>
        <w:ind w:firstLine="642" w:firstLineChars="200"/>
        <w:rPr>
          <w:rFonts w:ascii="楷体_GB2312" w:hAnsi="楷体_GB2312" w:eastAsia="楷体_GB2312" w:cs="楷体_GB2312"/>
          <w:sz w:val="32"/>
          <w:szCs w:val="32"/>
        </w:rPr>
      </w:pPr>
      <w:r>
        <w:rPr>
          <w:rFonts w:hint="eastAsia" w:ascii="楷体_GB2312" w:hAnsi="楷体_GB2312" w:eastAsia="楷体_GB2312" w:cs="楷体_GB2312"/>
          <w:b/>
          <w:bCs/>
          <w:sz w:val="32"/>
          <w:szCs w:val="32"/>
        </w:rPr>
        <w:t>（一）部门财政资金收入情况</w:t>
      </w:r>
      <w:r>
        <w:rPr>
          <w:rFonts w:hint="eastAsia" w:ascii="楷体_GB2312" w:hAnsi="楷体_GB2312" w:eastAsia="楷体_GB2312" w:cs="楷体_GB2312"/>
          <w:sz w:val="32"/>
          <w:szCs w:val="32"/>
        </w:rPr>
        <w:t>。</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2022年总收入</w:t>
      </w:r>
      <w:r>
        <w:rPr>
          <w:rFonts w:ascii="仿宋_GB2312" w:hAnsi="仿宋" w:eastAsia="仿宋_GB2312"/>
          <w:color w:val="000000"/>
          <w:sz w:val="32"/>
          <w:szCs w:val="32"/>
        </w:rPr>
        <w:t>38.40</w:t>
      </w:r>
      <w:r>
        <w:rPr>
          <w:rFonts w:hint="eastAsia" w:ascii="仿宋_GB2312" w:hAnsi="仿宋" w:eastAsia="仿宋_GB2312"/>
          <w:color w:val="000000"/>
          <w:sz w:val="32"/>
          <w:szCs w:val="32"/>
        </w:rPr>
        <w:t>万元，其中：财政拨款收入</w:t>
      </w:r>
      <w:r>
        <w:rPr>
          <w:rFonts w:ascii="仿宋_GB2312" w:hAnsi="仿宋" w:eastAsia="仿宋_GB2312"/>
          <w:color w:val="000000"/>
          <w:sz w:val="32"/>
          <w:szCs w:val="32"/>
        </w:rPr>
        <w:t>38.40</w:t>
      </w:r>
      <w:r>
        <w:rPr>
          <w:rFonts w:hint="eastAsia" w:ascii="仿宋_GB2312" w:hAnsi="仿宋" w:eastAsia="仿宋_GB2312"/>
          <w:color w:val="000000"/>
          <w:sz w:val="32"/>
          <w:szCs w:val="32"/>
        </w:rPr>
        <w:t>万元，占总收入100%。</w:t>
      </w:r>
    </w:p>
    <w:p>
      <w:pPr>
        <w:spacing w:line="580" w:lineRule="exact"/>
        <w:ind w:firstLine="642" w:firstLineChars="200"/>
        <w:rPr>
          <w:rFonts w:ascii="仿宋_GB2312" w:hAnsi="仿宋" w:eastAsia="仿宋_GB2312" w:cs="仿宋_GB2312"/>
          <w:sz w:val="32"/>
          <w:szCs w:val="32"/>
        </w:rPr>
      </w:pPr>
      <w:r>
        <w:rPr>
          <w:rFonts w:hint="eastAsia" w:ascii="楷体_GB2312" w:hAnsi="楷体_GB2312" w:eastAsia="楷体_GB2312" w:cs="楷体_GB2312"/>
          <w:b/>
          <w:bCs/>
          <w:sz w:val="32"/>
          <w:szCs w:val="32"/>
        </w:rPr>
        <w:t>（二）部门财政资金支出情况</w:t>
      </w:r>
      <w:r>
        <w:rPr>
          <w:rFonts w:hint="eastAsia" w:ascii="仿宋_GB2312" w:hAnsi="仿宋" w:eastAsia="仿宋_GB2312" w:cs="仿宋_GB2312"/>
          <w:sz w:val="32"/>
          <w:szCs w:val="32"/>
        </w:rPr>
        <w:t>。</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2022年总支出</w:t>
      </w:r>
      <w:r>
        <w:rPr>
          <w:rFonts w:ascii="仿宋_GB2312" w:hAnsi="仿宋" w:eastAsia="仿宋_GB2312"/>
          <w:color w:val="000000"/>
          <w:sz w:val="32"/>
          <w:szCs w:val="32"/>
        </w:rPr>
        <w:t>38.40</w:t>
      </w:r>
      <w:r>
        <w:rPr>
          <w:rFonts w:hint="eastAsia" w:ascii="仿宋_GB2312" w:hAnsi="仿宋" w:eastAsia="仿宋_GB2312"/>
          <w:color w:val="000000"/>
          <w:sz w:val="32"/>
          <w:szCs w:val="32"/>
        </w:rPr>
        <w:t>万元。其中：基本支出</w:t>
      </w:r>
      <w:r>
        <w:rPr>
          <w:rFonts w:ascii="仿宋_GB2312" w:hAnsi="仿宋" w:eastAsia="仿宋_GB2312"/>
          <w:color w:val="000000"/>
          <w:sz w:val="32"/>
          <w:szCs w:val="32"/>
        </w:rPr>
        <w:t>22.80</w:t>
      </w:r>
      <w:r>
        <w:rPr>
          <w:rFonts w:hint="eastAsia" w:ascii="仿宋_GB2312" w:hAnsi="仿宋" w:eastAsia="仿宋_GB2312"/>
          <w:color w:val="000000"/>
          <w:sz w:val="32"/>
          <w:szCs w:val="32"/>
        </w:rPr>
        <w:t>万元，占总支出</w:t>
      </w:r>
      <w:r>
        <w:rPr>
          <w:rFonts w:ascii="仿宋_GB2312" w:hAnsi="仿宋" w:eastAsia="仿宋_GB2312"/>
          <w:color w:val="000000"/>
          <w:sz w:val="32"/>
          <w:szCs w:val="32"/>
        </w:rPr>
        <w:t>59.38</w:t>
      </w:r>
      <w:r>
        <w:rPr>
          <w:rFonts w:hint="eastAsia" w:ascii="仿宋_GB2312" w:hAnsi="仿宋" w:eastAsia="仿宋_GB2312"/>
          <w:color w:val="000000"/>
          <w:sz w:val="32"/>
          <w:szCs w:val="32"/>
        </w:rPr>
        <w:t>%，项目支出</w:t>
      </w:r>
      <w:r>
        <w:rPr>
          <w:rFonts w:ascii="仿宋_GB2312" w:hAnsi="仿宋" w:eastAsia="仿宋_GB2312"/>
          <w:color w:val="000000"/>
          <w:sz w:val="32"/>
          <w:szCs w:val="32"/>
        </w:rPr>
        <w:t>15.6</w:t>
      </w:r>
      <w:r>
        <w:rPr>
          <w:rFonts w:hint="eastAsia" w:ascii="仿宋_GB2312" w:hAnsi="仿宋" w:eastAsia="仿宋_GB2312"/>
          <w:color w:val="000000"/>
          <w:sz w:val="32"/>
          <w:szCs w:val="32"/>
        </w:rPr>
        <w:t>万元，占总支出</w:t>
      </w:r>
      <w:r>
        <w:rPr>
          <w:rFonts w:ascii="仿宋_GB2312" w:hAnsi="仿宋" w:eastAsia="仿宋_GB2312"/>
          <w:color w:val="000000"/>
          <w:sz w:val="32"/>
          <w:szCs w:val="32"/>
        </w:rPr>
        <w:t>40.62</w:t>
      </w:r>
      <w:r>
        <w:rPr>
          <w:rFonts w:hint="eastAsia" w:ascii="仿宋_GB2312" w:hAnsi="仿宋" w:eastAsia="仿宋_GB2312"/>
          <w:color w:val="000000"/>
          <w:sz w:val="32"/>
          <w:szCs w:val="32"/>
        </w:rPr>
        <w:t>%。</w:t>
      </w:r>
    </w:p>
    <w:p>
      <w:pPr>
        <w:spacing w:line="580" w:lineRule="exact"/>
        <w:ind w:firstLine="642" w:firstLineChars="200"/>
        <w:rPr>
          <w:rFonts w:ascii="仿宋_GB2312" w:hAnsi="仿宋" w:eastAsia="仿宋_GB2312" w:cs="仿宋_GB2312"/>
          <w:b/>
          <w:sz w:val="32"/>
          <w:szCs w:val="32"/>
        </w:rPr>
      </w:pPr>
      <w:r>
        <w:rPr>
          <w:rFonts w:hint="eastAsia" w:ascii="黑体" w:hAnsi="黑体" w:eastAsia="黑体" w:cs="黑体"/>
          <w:b/>
          <w:sz w:val="32"/>
          <w:szCs w:val="32"/>
        </w:rPr>
        <w:t>三、部门整体预算绩效管理情况</w:t>
      </w:r>
    </w:p>
    <w:p>
      <w:pPr>
        <w:widowControl/>
        <w:adjustRightInd w:val="0"/>
        <w:snapToGrid w:val="0"/>
        <w:spacing w:line="540" w:lineRule="exact"/>
        <w:ind w:firstLine="72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（一）部门预算管理。</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b/>
          <w:bCs/>
          <w:color w:val="000000"/>
          <w:sz w:val="32"/>
          <w:szCs w:val="32"/>
        </w:rPr>
        <w:t>1.预决算编制情况。</w:t>
      </w:r>
      <w:r>
        <w:rPr>
          <w:rFonts w:hint="eastAsia" w:ascii="仿宋_GB2312" w:hAnsi="仿宋" w:eastAsia="仿宋_GB2312"/>
          <w:color w:val="000000"/>
          <w:sz w:val="32"/>
          <w:szCs w:val="32"/>
        </w:rPr>
        <w:t>我中心严格按照县财政局“人员经费按标准，公用经费按定额”的预算原则，编制2022年本级部门决算</w:t>
      </w:r>
      <w:r>
        <w:rPr>
          <w:rFonts w:ascii="仿宋_GB2312" w:hAnsi="仿宋" w:eastAsia="仿宋_GB2312"/>
          <w:color w:val="000000"/>
          <w:sz w:val="32"/>
          <w:szCs w:val="32"/>
        </w:rPr>
        <w:t>38.40</w:t>
      </w:r>
      <w:r>
        <w:rPr>
          <w:rFonts w:hint="eastAsia" w:ascii="仿宋_GB2312" w:hAnsi="仿宋" w:eastAsia="仿宋_GB2312"/>
          <w:color w:val="000000"/>
          <w:sz w:val="32"/>
          <w:szCs w:val="32"/>
        </w:rPr>
        <w:t>万元。根据县财政局关于做好2022年财务工作决算的通知要求，客观真实编制了2022年部门决算，2022年财政资金总支出为支出</w:t>
      </w:r>
      <w:r>
        <w:rPr>
          <w:rFonts w:ascii="仿宋_GB2312" w:hAnsi="仿宋" w:eastAsia="仿宋_GB2312"/>
          <w:color w:val="000000"/>
          <w:sz w:val="32"/>
          <w:szCs w:val="32"/>
        </w:rPr>
        <w:t>38.40</w:t>
      </w:r>
      <w:r>
        <w:rPr>
          <w:rFonts w:hint="eastAsia" w:ascii="仿宋_GB2312" w:hAnsi="仿宋" w:eastAsia="仿宋_GB2312"/>
          <w:color w:val="000000"/>
          <w:sz w:val="32"/>
          <w:szCs w:val="32"/>
        </w:rPr>
        <w:t>万元（其中人员经费支出</w:t>
      </w:r>
      <w:r>
        <w:rPr>
          <w:rFonts w:ascii="仿宋_GB2312" w:hAnsi="仿宋" w:eastAsia="仿宋_GB2312"/>
          <w:color w:val="000000"/>
          <w:sz w:val="32"/>
          <w:szCs w:val="32"/>
        </w:rPr>
        <w:t>15.58</w:t>
      </w:r>
      <w:r>
        <w:rPr>
          <w:rFonts w:hint="eastAsia" w:ascii="仿宋_GB2312" w:hAnsi="仿宋" w:eastAsia="仿宋_GB2312"/>
          <w:color w:val="000000"/>
          <w:sz w:val="32"/>
          <w:szCs w:val="32"/>
        </w:rPr>
        <w:t>万元、公用经费支出</w:t>
      </w:r>
      <w:r>
        <w:rPr>
          <w:rFonts w:ascii="仿宋_GB2312" w:hAnsi="仿宋" w:eastAsia="仿宋_GB2312"/>
          <w:color w:val="000000"/>
          <w:sz w:val="32"/>
          <w:szCs w:val="32"/>
        </w:rPr>
        <w:t>6.22</w:t>
      </w:r>
      <w:r>
        <w:rPr>
          <w:rFonts w:hint="eastAsia" w:ascii="仿宋_GB2312" w:hAnsi="仿宋" w:eastAsia="仿宋_GB2312"/>
          <w:color w:val="000000"/>
          <w:sz w:val="32"/>
          <w:szCs w:val="32"/>
        </w:rPr>
        <w:t>万元、项目经费</w:t>
      </w:r>
      <w:r>
        <w:rPr>
          <w:rFonts w:ascii="仿宋_GB2312" w:hAnsi="仿宋" w:eastAsia="仿宋_GB2312"/>
          <w:color w:val="000000"/>
          <w:sz w:val="32"/>
          <w:szCs w:val="32"/>
        </w:rPr>
        <w:t>15.60</w:t>
      </w:r>
      <w:r>
        <w:rPr>
          <w:rFonts w:hint="eastAsia" w:ascii="仿宋_GB2312" w:hAnsi="仿宋" w:eastAsia="仿宋_GB2312"/>
          <w:color w:val="000000"/>
          <w:sz w:val="32"/>
          <w:szCs w:val="32"/>
        </w:rPr>
        <w:t>万元）。我中心对财政支出做出合理规划，对财政管理体制的完善、活动范围的合理界定、监督和约束都具有重要作用。</w:t>
      </w:r>
    </w:p>
    <w:p>
      <w:pPr>
        <w:widowControl/>
        <w:adjustRightInd w:val="0"/>
        <w:snapToGrid w:val="0"/>
        <w:spacing w:line="540" w:lineRule="exact"/>
        <w:ind w:firstLine="642" w:firstLineChars="200"/>
        <w:jc w:val="left"/>
        <w:rPr>
          <w:rFonts w:ascii="仿宋_GB2312" w:hAnsi="仿宋" w:eastAsia="仿宋_GB2312"/>
          <w:color w:val="000000"/>
          <w:sz w:val="32"/>
          <w:szCs w:val="32"/>
        </w:rPr>
      </w:pPr>
      <w:r>
        <w:rPr>
          <w:rFonts w:hint="eastAsia" w:ascii="仿宋_GB2312" w:hAnsi="仿宋" w:eastAsia="仿宋_GB2312"/>
          <w:b/>
          <w:bCs/>
          <w:color w:val="000000"/>
          <w:sz w:val="32"/>
          <w:szCs w:val="32"/>
        </w:rPr>
        <w:t>2.执行管理情况</w:t>
      </w:r>
      <w:r>
        <w:rPr>
          <w:rFonts w:hint="eastAsia" w:ascii="楷体_GB2312" w:hAnsi="楷体_GB2312" w:eastAsia="楷体_GB2312" w:cs="楷体_GB2312"/>
          <w:b/>
          <w:bCs/>
          <w:sz w:val="32"/>
          <w:szCs w:val="32"/>
        </w:rPr>
        <w:t>。</w:t>
      </w:r>
      <w:r>
        <w:rPr>
          <w:rFonts w:hint="eastAsia" w:ascii="仿宋_GB2312" w:hAnsi="仿宋" w:eastAsia="仿宋_GB2312"/>
          <w:color w:val="000000"/>
          <w:sz w:val="32"/>
          <w:szCs w:val="32"/>
        </w:rPr>
        <w:t>我中心严格遵守县财政局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所有票据由经办人、股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局历来高度重视内部财务管理，建立了内部财务管理制度。内部财务管理制度中包含了经费管理、经费审批、借款管理、现金及支票管理和财务管理五个方面。根据中央八项规定、省委十项规定、州委和县委相关规定，对“三公经费”、会议费、公务卡强制接算目录制度等进行了完善，单位领导干部加强对财政预算资金的管理，机关干部、职工都严格遵守财经纪律，严格按照财务管理制度照章办事，没有发生违反财经纪律、违反财务管理制度的情况。同时，在开支控制、办公用品采购、大宗印刷管理、公车改革、车辆租赁等方面严格执行相关制度。</w:t>
      </w:r>
    </w:p>
    <w:p>
      <w:pPr>
        <w:spacing w:line="580" w:lineRule="exact"/>
        <w:ind w:firstLine="642"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3.综合管理情况。</w:t>
      </w:r>
      <w:r>
        <w:rPr>
          <w:rFonts w:hint="eastAsia" w:ascii="仿宋_GB2312" w:hAnsi="仿宋" w:eastAsia="仿宋_GB2312"/>
          <w:color w:val="000000"/>
          <w:sz w:val="32"/>
          <w:szCs w:val="32"/>
        </w:rPr>
        <w:t>我中心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spacing w:line="580" w:lineRule="exact"/>
        <w:ind w:firstLine="642"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4、部门支出绩效</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（1）基本支出</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本年度基本支出人员经费</w:t>
      </w:r>
      <w:r>
        <w:rPr>
          <w:rFonts w:ascii="仿宋_GB2312" w:hAnsi="仿宋" w:eastAsia="仿宋_GB2312"/>
          <w:color w:val="000000"/>
          <w:sz w:val="32"/>
          <w:szCs w:val="32"/>
        </w:rPr>
        <w:t>16.58</w:t>
      </w:r>
      <w:r>
        <w:rPr>
          <w:rFonts w:hint="eastAsia" w:ascii="仿宋_GB2312" w:hAnsi="仿宋" w:eastAsia="仿宋_GB2312"/>
          <w:color w:val="000000"/>
          <w:sz w:val="32"/>
          <w:szCs w:val="32"/>
        </w:rPr>
        <w:t>万元，主要用于基本工资、津贴补贴、奖金、其他社会保障缴费、绩效工资、机关事业单位基本养老保险缴费、职业年金缴费、职工基本医疗保险缴费、退休费、生活补助、奖励金、住房公积金。</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（2）公用支出</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本年度基本支出公用经费支出</w:t>
      </w:r>
      <w:r>
        <w:rPr>
          <w:rFonts w:ascii="仿宋_GB2312" w:hAnsi="仿宋" w:eastAsia="仿宋_GB2312"/>
          <w:color w:val="000000"/>
          <w:sz w:val="32"/>
          <w:szCs w:val="32"/>
        </w:rPr>
        <w:t>6.22</w:t>
      </w:r>
      <w:r>
        <w:rPr>
          <w:rFonts w:hint="eastAsia" w:ascii="仿宋_GB2312" w:hAnsi="仿宋" w:eastAsia="仿宋_GB2312"/>
          <w:color w:val="000000"/>
          <w:sz w:val="32"/>
          <w:szCs w:val="32"/>
        </w:rPr>
        <w:t>万元，主要用于办公费、印刷费、水费、电费、邮电费、差旅费、维修（护）费、其他交通费用、其他商品和服务支出、办公设备购置、信息网络及软件购置更新。</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（3）项目支出</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本年度项目支出</w:t>
      </w:r>
      <w:r>
        <w:rPr>
          <w:rFonts w:ascii="仿宋_GB2312" w:hAnsi="仿宋" w:eastAsia="仿宋_GB2312"/>
          <w:color w:val="000000"/>
          <w:sz w:val="32"/>
          <w:szCs w:val="32"/>
        </w:rPr>
        <w:t>15.60</w:t>
      </w:r>
      <w:r>
        <w:rPr>
          <w:rFonts w:hint="eastAsia" w:ascii="仿宋_GB2312" w:hAnsi="仿宋" w:eastAsia="仿宋_GB2312"/>
          <w:color w:val="000000"/>
          <w:sz w:val="32"/>
          <w:szCs w:val="32"/>
        </w:rPr>
        <w:t>万元，主要用于购置人影弹药专项经费、人影作业专用车辆运行等。</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2、三公经费支出</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olor w:val="000000"/>
          <w:sz w:val="32"/>
          <w:szCs w:val="32"/>
        </w:rPr>
        <w:t>我局202</w:t>
      </w:r>
      <w:r>
        <w:rPr>
          <w:rFonts w:ascii="仿宋_GB2312" w:hAnsi="仿宋" w:eastAsia="仿宋_GB2312"/>
          <w:color w:val="000000"/>
          <w:sz w:val="32"/>
          <w:szCs w:val="32"/>
        </w:rPr>
        <w:t>2</w:t>
      </w:r>
      <w:r>
        <w:rPr>
          <w:rFonts w:hint="eastAsia" w:ascii="仿宋_GB2312" w:hAnsi="仿宋" w:eastAsia="仿宋_GB2312"/>
          <w:color w:val="000000"/>
          <w:sz w:val="32"/>
          <w:szCs w:val="32"/>
        </w:rPr>
        <w:t>年无因公出国（境）经费预算；本单位202</w:t>
      </w:r>
      <w:r>
        <w:rPr>
          <w:rFonts w:ascii="仿宋_GB2312" w:hAnsi="仿宋" w:eastAsia="仿宋_GB2312"/>
          <w:color w:val="000000"/>
          <w:sz w:val="32"/>
          <w:szCs w:val="32"/>
        </w:rPr>
        <w:t>2</w:t>
      </w:r>
      <w:r>
        <w:rPr>
          <w:rFonts w:hint="eastAsia" w:ascii="仿宋_GB2312" w:hAnsi="仿宋" w:eastAsia="仿宋_GB2312"/>
          <w:color w:val="000000"/>
          <w:sz w:val="32"/>
          <w:szCs w:val="32"/>
        </w:rPr>
        <w:t>年“三公经费”支出</w:t>
      </w:r>
      <w:r>
        <w:rPr>
          <w:rFonts w:ascii="仿宋_GB2312" w:hAnsi="仿宋" w:eastAsia="仿宋_GB2312"/>
          <w:color w:val="000000"/>
          <w:sz w:val="32"/>
          <w:szCs w:val="32"/>
        </w:rPr>
        <w:t>4.75</w:t>
      </w:r>
      <w:r>
        <w:rPr>
          <w:rFonts w:hint="eastAsia" w:ascii="仿宋_GB2312" w:hAnsi="仿宋" w:eastAsia="仿宋_GB2312"/>
          <w:color w:val="000000"/>
          <w:sz w:val="32"/>
          <w:szCs w:val="32"/>
        </w:rPr>
        <w:t>万元，其中公务用车运行维护费支出4.75万元，国内接待费支出0万元。与2020年公务用车运行维护费支出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万元，国内接待费支出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万元相比。公务用车运行维护费支出增加</w:t>
      </w:r>
      <w:r>
        <w:rPr>
          <w:rFonts w:ascii="仿宋_GB2312" w:hAnsi="仿宋" w:eastAsia="仿宋_GB2312"/>
          <w:color w:val="000000"/>
          <w:sz w:val="32"/>
          <w:szCs w:val="32"/>
        </w:rPr>
        <w:t>4.75</w:t>
      </w:r>
      <w:r>
        <w:rPr>
          <w:rFonts w:hint="eastAsia" w:ascii="仿宋_GB2312" w:hAnsi="仿宋" w:eastAsia="仿宋_GB2312"/>
          <w:color w:val="000000"/>
          <w:sz w:val="32"/>
          <w:szCs w:val="32"/>
        </w:rPr>
        <w:t>万元（2</w:t>
      </w:r>
      <w:r>
        <w:rPr>
          <w:rFonts w:ascii="仿宋_GB2312" w:hAnsi="仿宋" w:eastAsia="仿宋_GB2312"/>
          <w:color w:val="000000"/>
          <w:sz w:val="32"/>
          <w:szCs w:val="32"/>
        </w:rPr>
        <w:t>022</w:t>
      </w:r>
      <w:r>
        <w:rPr>
          <w:rFonts w:hint="eastAsia" w:ascii="仿宋_GB2312" w:hAnsi="仿宋" w:eastAsia="仿宋_GB2312"/>
          <w:color w:val="000000"/>
          <w:sz w:val="32"/>
          <w:szCs w:val="32"/>
        </w:rPr>
        <w:t>年首次纳入预算），国内接待费支出减少</w:t>
      </w:r>
      <w:r>
        <w:rPr>
          <w:rFonts w:ascii="仿宋_GB2312" w:hAnsi="仿宋" w:eastAsia="仿宋_GB2312"/>
          <w:color w:val="000000"/>
          <w:sz w:val="32"/>
          <w:szCs w:val="32"/>
        </w:rPr>
        <w:t>0</w:t>
      </w:r>
      <w:r>
        <w:rPr>
          <w:rFonts w:hint="eastAsia" w:ascii="仿宋_GB2312" w:hAnsi="仿宋" w:eastAsia="仿宋_GB2312"/>
          <w:color w:val="000000"/>
          <w:sz w:val="32"/>
          <w:szCs w:val="32"/>
        </w:rPr>
        <w:t>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3、其他重要事项的情况说明。</w:t>
      </w:r>
    </w:p>
    <w:p>
      <w:pPr>
        <w:spacing w:line="600" w:lineRule="exact"/>
        <w:ind w:firstLine="640" w:firstLineChars="200"/>
        <w:rPr>
          <w:rFonts w:ascii="仿宋_GB2312" w:eastAsia="仿宋_GB2312"/>
          <w:color w:val="000000"/>
          <w:sz w:val="32"/>
          <w:szCs w:val="32"/>
        </w:rPr>
      </w:pPr>
      <w:r>
        <w:rPr>
          <w:rFonts w:hint="eastAsia" w:ascii="仿宋_GB2312" w:hAnsi="仿宋" w:eastAsia="仿宋_GB2312" w:cs="仿宋_GB2312"/>
          <w:sz w:val="32"/>
          <w:szCs w:val="32"/>
        </w:rPr>
        <w:t>（1）机关运行经费：</w:t>
      </w:r>
      <w:r>
        <w:rPr>
          <w:rFonts w:hint="eastAsia" w:ascii="仿宋_GB2312" w:eastAsia="仿宋_GB2312"/>
          <w:color w:val="000000"/>
          <w:sz w:val="32"/>
          <w:szCs w:val="32"/>
        </w:rPr>
        <w:t>202</w:t>
      </w:r>
      <w:r>
        <w:rPr>
          <w:rFonts w:ascii="仿宋_GB2312" w:eastAsia="仿宋_GB2312"/>
          <w:color w:val="000000"/>
          <w:sz w:val="32"/>
          <w:szCs w:val="32"/>
        </w:rPr>
        <w:t>2</w:t>
      </w:r>
      <w:r>
        <w:rPr>
          <w:rFonts w:hint="eastAsia" w:ascii="仿宋_GB2312" w:eastAsia="仿宋_GB2312"/>
          <w:color w:val="000000"/>
          <w:sz w:val="32"/>
          <w:szCs w:val="32"/>
        </w:rPr>
        <w:t>年，我局机关运行经费支出</w:t>
      </w:r>
      <w:r>
        <w:rPr>
          <w:rFonts w:ascii="仿宋_GB2312" w:eastAsia="仿宋_GB2312"/>
          <w:color w:val="000000"/>
          <w:sz w:val="32"/>
          <w:szCs w:val="32"/>
        </w:rPr>
        <w:t>6.22</w:t>
      </w:r>
      <w:r>
        <w:rPr>
          <w:rFonts w:hint="eastAsia" w:ascii="仿宋_GB2312" w:eastAsia="仿宋_GB2312"/>
          <w:color w:val="000000"/>
          <w:sz w:val="32"/>
          <w:szCs w:val="32"/>
        </w:rPr>
        <w:t>万元，较202</w:t>
      </w:r>
      <w:r>
        <w:rPr>
          <w:rFonts w:ascii="仿宋_GB2312" w:eastAsia="仿宋_GB2312"/>
          <w:color w:val="000000"/>
          <w:sz w:val="32"/>
          <w:szCs w:val="32"/>
        </w:rPr>
        <w:t>1</w:t>
      </w:r>
      <w:r>
        <w:rPr>
          <w:rFonts w:hint="eastAsia" w:ascii="仿宋_GB2312" w:eastAsia="仿宋_GB2312"/>
          <w:color w:val="000000"/>
          <w:sz w:val="32"/>
          <w:szCs w:val="32"/>
        </w:rPr>
        <w:t>年</w:t>
      </w:r>
      <w:r>
        <w:rPr>
          <w:rFonts w:ascii="仿宋_GB2312" w:eastAsia="仿宋_GB2312"/>
          <w:color w:val="000000"/>
          <w:sz w:val="32"/>
          <w:szCs w:val="32"/>
        </w:rPr>
        <w:t>6.65</w:t>
      </w:r>
      <w:r>
        <w:rPr>
          <w:rFonts w:hint="eastAsia" w:ascii="仿宋_GB2312" w:eastAsia="仿宋_GB2312"/>
          <w:color w:val="000000"/>
          <w:sz w:val="32"/>
          <w:szCs w:val="32"/>
        </w:rPr>
        <w:t>万元减少0</w:t>
      </w:r>
      <w:r>
        <w:rPr>
          <w:rFonts w:ascii="仿宋_GB2312" w:eastAsia="仿宋_GB2312"/>
          <w:color w:val="000000"/>
          <w:sz w:val="32"/>
          <w:szCs w:val="32"/>
        </w:rPr>
        <w:t>.43</w:t>
      </w:r>
      <w:r>
        <w:rPr>
          <w:rFonts w:hint="eastAsia" w:ascii="仿宋_GB2312" w:eastAsia="仿宋_GB2312"/>
          <w:color w:val="000000"/>
          <w:sz w:val="32"/>
          <w:szCs w:val="32"/>
        </w:rPr>
        <w:t>万元，</w:t>
      </w:r>
      <w:r>
        <w:rPr>
          <w:rFonts w:hint="eastAsia" w:ascii="仿宋_GB2312" w:hAnsi="仿宋" w:eastAsia="仿宋_GB2312"/>
          <w:color w:val="000000"/>
          <w:sz w:val="32"/>
          <w:szCs w:val="32"/>
        </w:rPr>
        <w:t>减少6</w:t>
      </w:r>
      <w:r>
        <w:rPr>
          <w:rFonts w:ascii="仿宋_GB2312" w:hAnsi="仿宋" w:eastAsia="仿宋_GB2312"/>
          <w:color w:val="000000"/>
          <w:sz w:val="32"/>
          <w:szCs w:val="32"/>
        </w:rPr>
        <w:t>.5</w:t>
      </w:r>
      <w:r>
        <w:rPr>
          <w:rFonts w:hint="eastAsia" w:ascii="仿宋_GB2312" w:hAnsi="仿宋" w:eastAsia="仿宋_GB2312"/>
          <w:color w:val="000000"/>
          <w:sz w:val="32"/>
          <w:szCs w:val="32"/>
        </w:rPr>
        <w:t>%，原因是</w:t>
      </w:r>
      <w:r>
        <w:rPr>
          <w:rFonts w:hint="eastAsia" w:ascii="仿宋_GB2312" w:eastAsia="仿宋_GB2312"/>
          <w:color w:val="000000"/>
          <w:sz w:val="32"/>
          <w:szCs w:val="32"/>
        </w:rPr>
        <w:t>厉行节约。</w:t>
      </w:r>
    </w:p>
    <w:p>
      <w:pPr>
        <w:widowControl/>
        <w:adjustRightInd w:val="0"/>
        <w:snapToGrid w:val="0"/>
        <w:spacing w:line="540" w:lineRule="exact"/>
        <w:ind w:firstLine="720"/>
        <w:jc w:val="left"/>
        <w:rPr>
          <w:rFonts w:ascii="仿宋_GB2312" w:hAnsi="仿宋" w:eastAsia="仿宋_GB2312"/>
          <w:color w:val="000000"/>
          <w:sz w:val="32"/>
          <w:szCs w:val="32"/>
        </w:rPr>
      </w:pPr>
      <w:r>
        <w:rPr>
          <w:rFonts w:hint="eastAsia" w:ascii="仿宋_GB2312" w:hAnsi="仿宋" w:eastAsia="仿宋_GB2312" w:cs="仿宋_GB2312"/>
          <w:sz w:val="32"/>
          <w:szCs w:val="32"/>
        </w:rPr>
        <w:t>2.政府采购情况：无</w:t>
      </w:r>
      <w:r>
        <w:rPr>
          <w:rFonts w:hint="eastAsia" w:ascii="仿宋_GB2312" w:hAnsi="仿宋" w:eastAsia="仿宋_GB2312"/>
          <w:color w:val="000000"/>
          <w:sz w:val="32"/>
          <w:szCs w:val="32"/>
        </w:rPr>
        <w:t>。</w:t>
      </w:r>
    </w:p>
    <w:p>
      <w:pPr>
        <w:widowControl/>
        <w:adjustRightInd w:val="0"/>
        <w:snapToGrid w:val="0"/>
        <w:spacing w:line="540" w:lineRule="exact"/>
        <w:ind w:firstLine="720"/>
        <w:jc w:val="left"/>
      </w:pPr>
      <w:r>
        <w:rPr>
          <w:rFonts w:hint="eastAsia" w:ascii="仿宋_GB2312" w:hAnsi="仿宋" w:eastAsia="仿宋_GB2312" w:cs="仿宋_GB2312"/>
          <w:sz w:val="32"/>
          <w:szCs w:val="32"/>
        </w:rPr>
        <w:t>3.国有资产占有使用情况：截至202</w:t>
      </w:r>
      <w:r>
        <w:rPr>
          <w:rFonts w:ascii="仿宋_GB2312" w:hAnsi="仿宋" w:eastAsia="仿宋_GB2312" w:cs="仿宋_GB2312"/>
          <w:sz w:val="32"/>
          <w:szCs w:val="32"/>
        </w:rPr>
        <w:t>2</w:t>
      </w:r>
      <w:r>
        <w:rPr>
          <w:rFonts w:hint="eastAsia" w:ascii="仿宋_GB2312" w:hAnsi="仿宋" w:eastAsia="仿宋_GB2312" w:cs="仿宋_GB2312"/>
          <w:sz w:val="32"/>
          <w:szCs w:val="32"/>
        </w:rPr>
        <w:t>年底，共有车辆1辆，单位价值200万元以上大型设备0台（套）。</w:t>
      </w:r>
    </w:p>
    <w:p>
      <w:pPr>
        <w:widowControl/>
        <w:adjustRightInd w:val="0"/>
        <w:snapToGrid w:val="0"/>
        <w:spacing w:line="540" w:lineRule="exact"/>
        <w:ind w:firstLine="720"/>
        <w:jc w:val="left"/>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（二）结果应用情况。</w:t>
      </w:r>
      <w:r>
        <w:rPr>
          <w:rFonts w:hint="eastAsia" w:ascii="楷体_GB2312" w:hAnsi="楷体_GB2312" w:eastAsia="楷体_GB2312" w:cs="楷体_GB2312"/>
          <w:b/>
          <w:bCs/>
          <w:sz w:val="32"/>
          <w:szCs w:val="32"/>
          <w:lang w:val="zh-CN"/>
        </w:rPr>
        <w:tab/>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val="zh-CN"/>
        </w:rPr>
        <w:t>我中心严格按照县财政局通知要求公开预算、决算、部门整体绩效；严格按照县财政局要求对部门整体全面进行绩效评价，并及时上报财政，对绩效评价发现问题制定整改措施，并整改落实到位；严格按照县财政局文件要求及时进行自查，并上报材料，未发现违纪违规问题。根据部门职能职</w:t>
      </w:r>
      <w:bookmarkStart w:id="1" w:name="_GoBack"/>
      <w:bookmarkEnd w:id="1"/>
      <w:r>
        <w:rPr>
          <w:rFonts w:hint="eastAsia" w:ascii="仿宋_GB2312" w:hAnsi="仿宋" w:eastAsia="仿宋_GB2312"/>
          <w:color w:val="000000"/>
          <w:sz w:val="32"/>
          <w:szCs w:val="32"/>
          <w:lang w:val="zh-CN"/>
        </w:rPr>
        <w:t>责，认真完成县委县政府安排的各项专项工作任务及其他年度重点工作任务。</w:t>
      </w:r>
    </w:p>
    <w:p>
      <w:pPr>
        <w:spacing w:line="58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四、评价结论及建议</w:t>
      </w:r>
    </w:p>
    <w:p>
      <w:pPr>
        <w:spacing w:line="560" w:lineRule="exact"/>
        <w:ind w:firstLine="640"/>
        <w:rPr>
          <w:rFonts w:ascii="仿宋_GB2312" w:hAnsi="仿宋" w:eastAsia="仿宋_GB2312" w:cs="仿宋_GB2312"/>
          <w:sz w:val="32"/>
          <w:szCs w:val="32"/>
        </w:rPr>
      </w:pPr>
      <w:r>
        <w:rPr>
          <w:rFonts w:hint="eastAsia" w:ascii="楷体_GB2312" w:hAnsi="仿宋" w:eastAsia="楷体_GB2312" w:cs="仿宋"/>
          <w:b/>
          <w:bCs/>
          <w:sz w:val="32"/>
          <w:szCs w:val="32"/>
        </w:rPr>
        <w:t>（一）评价结论。</w:t>
      </w:r>
      <w:r>
        <w:rPr>
          <w:rFonts w:hint="eastAsia" w:ascii="仿宋_GB2312" w:hAnsi="仿宋" w:eastAsia="仿宋_GB2312" w:cs="仿宋_GB2312"/>
          <w:sz w:val="32"/>
          <w:szCs w:val="32"/>
        </w:rPr>
        <w:t>从自评情况来看，我中心支出绩效水平较高，整体上完成了年初设定的绩效目标，保障了我中心工作的正常运转，促进了我中心的事业发展，充分发挥了财政资金的经济效益和社会效益。</w:t>
      </w:r>
    </w:p>
    <w:p>
      <w:pPr>
        <w:spacing w:line="560" w:lineRule="exact"/>
        <w:ind w:firstLine="640"/>
        <w:rPr>
          <w:rFonts w:ascii="楷体_GB2312" w:hAnsi="仿宋" w:eastAsia="楷体_GB2312" w:cs="仿宋"/>
          <w:b/>
          <w:bCs/>
          <w:sz w:val="32"/>
          <w:szCs w:val="32"/>
        </w:rPr>
      </w:pPr>
      <w:r>
        <w:rPr>
          <w:rFonts w:hint="eastAsia" w:ascii="仿宋_GB2312" w:hAnsi="仿宋" w:eastAsia="仿宋_GB2312" w:cs="仿宋_GB2312"/>
          <w:sz w:val="32"/>
          <w:szCs w:val="32"/>
        </w:rPr>
        <w:t>结合我中心自评情况，我中心整体支出绩效评价自评总分为95分，评价结果为良好。</w:t>
      </w:r>
    </w:p>
    <w:p>
      <w:pPr>
        <w:spacing w:line="580" w:lineRule="exact"/>
        <w:ind w:firstLine="642" w:firstLineChars="200"/>
        <w:rPr>
          <w:rFonts w:ascii="仿宋_GB2312" w:hAnsi="仿宋" w:eastAsia="仿宋_GB2312" w:cs="仿宋_GB2312"/>
          <w:sz w:val="32"/>
          <w:szCs w:val="32"/>
        </w:rPr>
      </w:pPr>
      <w:r>
        <w:rPr>
          <w:rFonts w:hint="eastAsia" w:ascii="楷体_GB2312" w:hAnsi="仿宋" w:eastAsia="楷体_GB2312" w:cs="仿宋"/>
          <w:b/>
          <w:bCs/>
          <w:sz w:val="32"/>
          <w:szCs w:val="32"/>
        </w:rPr>
        <w:t>（二）存在问题。</w:t>
      </w:r>
      <w:r>
        <w:rPr>
          <w:rFonts w:hint="eastAsia" w:ascii="仿宋_GB2312" w:hAnsi="仿宋" w:eastAsia="仿宋_GB2312" w:cs="仿宋_GB2312"/>
          <w:sz w:val="32"/>
          <w:szCs w:val="32"/>
        </w:rPr>
        <w:t>一是预算编制中的目标管理还有待加强。二是未执行中期评估，三是制度、方法、机制等创新力度不够。</w:t>
      </w:r>
    </w:p>
    <w:p>
      <w:pPr>
        <w:spacing w:line="580" w:lineRule="exact"/>
        <w:ind w:firstLine="642" w:firstLineChars="200"/>
        <w:rPr>
          <w:rFonts w:ascii="仿宋_GB2312" w:hAnsi="仿宋" w:eastAsia="仿宋_GB2312" w:cs="仿宋_GB2312"/>
          <w:sz w:val="32"/>
          <w:szCs w:val="32"/>
        </w:rPr>
      </w:pPr>
      <w:r>
        <w:rPr>
          <w:rFonts w:hint="eastAsia" w:ascii="楷体_GB2312" w:hAnsi="仿宋" w:eastAsia="楷体_GB2312" w:cs="仿宋"/>
          <w:b/>
          <w:bCs/>
          <w:sz w:val="32"/>
          <w:szCs w:val="32"/>
        </w:rPr>
        <w:t>（三）改进建议。</w:t>
      </w:r>
      <w:r>
        <w:rPr>
          <w:rFonts w:hint="eastAsia" w:ascii="仿宋_GB2312" w:hAnsi="仿宋" w:eastAsia="仿宋_GB2312" w:cs="仿宋_GB2312"/>
          <w:sz w:val="32"/>
          <w:szCs w:val="32"/>
        </w:rPr>
        <w:t>一是加强财务管理，严格财务审核。加强单位财务管理，健全单位财务管理制度体系，规范单位财务行为。在费用报账支付时，按照预算规定的费用项目和用途进行资金使用审核、列报支付、财务核算，杜绝超支现象的发生。二是完善资产管理，抓好“三公”经费控制。加强单位内部的资产管理工作。严格控制“三公”经费的规模和比例，把关“三公”经费支出的审核、审批，杜绝挪用和挤占其他预算资金行为；进一步细化“三公”经费的管理，合理压缩“三公”经费支出。三是对相关人员加强培训，特别是针对《中华人民共和国预算法》、《行政事业单位会计制度》等学习培训，规范部门预算收支核算，切实提高部门预算收支管理水平。四是进一步全面建立健全相关制度并在实际中运用，特别是加强单位内审和监督制度和机制的建立和健全工作;五是进一步加强学习，建立健全学习制度，在全局形成人人学法用法的良好氛围，真正做到工作有法可依，有法必依，通过学习创新工作方法、思路，进一步提高工作效率。</w:t>
      </w:r>
    </w:p>
    <w:p>
      <w:pPr>
        <w:spacing w:line="560" w:lineRule="exact"/>
        <w:ind w:left="2720" w:firstLine="217" w:firstLineChars="68"/>
        <w:rPr>
          <w:rFonts w:ascii="仿宋_GB2312" w:eastAsia="仿宋_GB2312"/>
          <w:sz w:val="32"/>
          <w:szCs w:val="32"/>
        </w:rPr>
      </w:pPr>
    </w:p>
    <w:p>
      <w:pPr>
        <w:spacing w:line="560" w:lineRule="exact"/>
        <w:ind w:left="2720" w:firstLine="217" w:firstLineChars="68"/>
        <w:rPr>
          <w:rFonts w:ascii="仿宋_GB2312" w:eastAsia="仿宋_GB2312"/>
          <w:sz w:val="32"/>
          <w:szCs w:val="32"/>
        </w:rPr>
      </w:pPr>
    </w:p>
    <w:p>
      <w:pPr>
        <w:spacing w:line="560" w:lineRule="exact"/>
        <w:ind w:left="2720" w:firstLine="217" w:firstLineChars="68"/>
        <w:rPr>
          <w:rFonts w:ascii="仿宋_GB2312" w:eastAsia="仿宋_GB2312"/>
          <w:sz w:val="32"/>
          <w:szCs w:val="32"/>
        </w:rPr>
      </w:pPr>
      <w:r>
        <w:rPr>
          <w:rFonts w:hint="eastAsia" w:ascii="仿宋_GB2312" w:eastAsia="仿宋_GB2312"/>
          <w:sz w:val="32"/>
          <w:szCs w:val="32"/>
        </w:rPr>
        <w:t>黑水防雷和人工影响天气服务中心</w:t>
      </w:r>
    </w:p>
    <w:p>
      <w:r>
        <w:rPr>
          <w:rFonts w:hint="eastAsia" w:ascii="仿宋_GB2312" w:eastAsia="仿宋_GB2312"/>
          <w:sz w:val="32"/>
          <w:szCs w:val="32"/>
        </w:rPr>
        <w:t xml:space="preserve">                          202</w:t>
      </w:r>
      <w:r>
        <w:rPr>
          <w:rFonts w:ascii="仿宋_GB2312" w:eastAsia="仿宋_GB2312"/>
          <w:sz w:val="32"/>
          <w:szCs w:val="32"/>
        </w:rPr>
        <w:t>3</w:t>
      </w:r>
      <w:r>
        <w:rPr>
          <w:rFonts w:hint="eastAsia" w:ascii="仿宋_GB2312" w:eastAsia="仿宋_GB2312"/>
          <w:sz w:val="32"/>
          <w:szCs w:val="32"/>
        </w:rPr>
        <w:t xml:space="preserve">年7月20日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5ZWRlMzQ1MTg4YTZmODgwMjMxOTc0YTUzOGNkZmQifQ=="/>
  </w:docVars>
  <w:rsids>
    <w:rsidRoot w:val="002157EE"/>
    <w:rsid w:val="0008506F"/>
    <w:rsid w:val="001E57D0"/>
    <w:rsid w:val="002157EE"/>
    <w:rsid w:val="002248AD"/>
    <w:rsid w:val="002E26B4"/>
    <w:rsid w:val="00353797"/>
    <w:rsid w:val="007420D5"/>
    <w:rsid w:val="00C04699"/>
    <w:rsid w:val="00C1688E"/>
    <w:rsid w:val="00FE1566"/>
    <w:rsid w:val="050B1577"/>
    <w:rsid w:val="052676B9"/>
    <w:rsid w:val="071A56B3"/>
    <w:rsid w:val="073B6B63"/>
    <w:rsid w:val="1B8E5E34"/>
    <w:rsid w:val="1FCD2542"/>
    <w:rsid w:val="2FD14D45"/>
    <w:rsid w:val="31011B6F"/>
    <w:rsid w:val="31EA7539"/>
    <w:rsid w:val="38DE1A7D"/>
    <w:rsid w:val="4B27217B"/>
    <w:rsid w:val="549E7C13"/>
    <w:rsid w:val="56515122"/>
    <w:rsid w:val="599574F7"/>
    <w:rsid w:val="61291238"/>
    <w:rsid w:val="637E512E"/>
    <w:rsid w:val="69C566D9"/>
    <w:rsid w:val="6E4B4EE4"/>
    <w:rsid w:val="71B2527A"/>
    <w:rsid w:val="78B62C83"/>
    <w:rsid w:val="97BF4CF8"/>
    <w:rsid w:val="D7DFA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table of figures"/>
    <w:basedOn w:val="1"/>
    <w:next w:val="1"/>
    <w:unhideWhenUsed/>
    <w:qFormat/>
    <w:uiPriority w:val="99"/>
    <w:pPr>
      <w:ind w:left="200" w:leftChars="200" w:hanging="200" w:hangingChars="200"/>
    </w:pPr>
  </w:style>
  <w:style w:type="character" w:customStyle="1" w:styleId="6">
    <w:name w:val="批注框文本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421</Words>
  <Characters>2401</Characters>
  <Lines>20</Lines>
  <Paragraphs>5</Paragraphs>
  <TotalTime>3</TotalTime>
  <ScaleCrop>false</ScaleCrop>
  <LinksUpToDate>false</LinksUpToDate>
  <CharactersWithSpaces>2817</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2023-08-30T09:23:00Z</dcterms:created>
  <dc:creator>Administrator</dc:creator>
  <cp:lastModifiedBy>user</cp:lastModifiedBy>
  <cp:lastPrinted>2023-08-30T09:22:00Z</cp:lastPrinted>
  <dcterms:modified xsi:type="dcterms:W3CDTF">2023-09-10T11:38:08Z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52637C365EFE4BFEA5CCD691C500CA0E_13</vt:lpwstr>
  </property>
</Properties>
</file>