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eastAsia="仿宋_GB2312" w:cs="方正小标宋简体"/>
          <w:b/>
          <w:sz w:val="32"/>
          <w:szCs w:val="32"/>
          <w:lang w:eastAsia="zh-CN"/>
        </w:rPr>
        <w:t>黑水防雷和人工影响天气服务中心</w:t>
      </w:r>
      <w:r>
        <w:rPr>
          <w:rFonts w:hint="eastAsia" w:ascii="仿宋_GB2312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eastAsia="仿宋_GB2312" w:cs="方正小标宋简体"/>
          <w:b/>
          <w:sz w:val="32"/>
          <w:szCs w:val="32"/>
        </w:rPr>
      </w:pPr>
      <w:r>
        <w:rPr>
          <w:rFonts w:hint="eastAsia" w:ascii="仿宋_GB2312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人影办为黑水县一级预算单位，无下属单位。</w:t>
      </w:r>
    </w:p>
    <w:p>
      <w:pPr>
        <w:numPr>
          <w:ilvl w:val="0"/>
          <w:numId w:val="1"/>
        </w:numPr>
        <w:spacing w:line="58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机构职能。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人影办业务范围包含人工增雨、防雹、消雾、防雷、森林防火、消除公共污染等。</w:t>
      </w:r>
    </w:p>
    <w:p>
      <w:pPr>
        <w:numPr>
          <w:ilvl w:val="0"/>
          <w:numId w:val="1"/>
        </w:numPr>
        <w:spacing w:line="58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人员概况。</w:t>
      </w:r>
    </w:p>
    <w:p>
      <w:pPr>
        <w:spacing w:line="58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人影办有事业编制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名，目前在岗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1人。</w:t>
      </w:r>
    </w:p>
    <w:p>
      <w:pPr>
        <w:spacing w:line="58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（一）部门财政资金收入情况。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2023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年度收入总计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27.53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万元，与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2022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年相比，</w:t>
      </w:r>
      <w:r>
        <w:rPr>
          <w:rFonts w:hint="eastAsia" w:ascii="仿宋_GB2312" w:eastAsia="仿宋_GB2312"/>
          <w:sz w:val="30"/>
          <w:szCs w:val="30"/>
          <w:lang w:eastAsia="zh-CN"/>
        </w:rPr>
        <w:t>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10.87</w:t>
      </w:r>
      <w:r>
        <w:rPr>
          <w:rFonts w:hint="eastAsia" w:ascii="仿宋_GB2312" w:eastAsia="仿宋_GB2312"/>
          <w:sz w:val="30"/>
          <w:szCs w:val="30"/>
        </w:rPr>
        <w:t>万元，</w:t>
      </w:r>
      <w:r>
        <w:rPr>
          <w:rFonts w:hint="eastAsia" w:ascii="仿宋_GB2312" w:eastAsia="仿宋_GB2312"/>
          <w:sz w:val="30"/>
          <w:szCs w:val="30"/>
          <w:lang w:eastAsia="zh-CN"/>
        </w:rPr>
        <w:t>减少</w:t>
      </w:r>
      <w:r>
        <w:rPr>
          <w:rFonts w:hint="eastAsia" w:ascii="仿宋_GB2312" w:eastAsia="仿宋_GB2312"/>
          <w:sz w:val="30"/>
          <w:szCs w:val="30"/>
        </w:rPr>
        <w:t>率为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sz w:val="30"/>
          <w:szCs w:val="30"/>
        </w:rPr>
        <w:t>%，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主要是2023年比上一年减少了项目经费的费用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; 支出总计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27.53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万元。与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年相比，</w:t>
      </w:r>
      <w:r>
        <w:rPr>
          <w:rFonts w:hint="eastAsia" w:ascii="仿宋_GB2312" w:eastAsia="仿宋_GB2312"/>
          <w:sz w:val="30"/>
          <w:szCs w:val="30"/>
          <w:lang w:eastAsia="zh-CN"/>
        </w:rPr>
        <w:t>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10.87</w:t>
      </w:r>
      <w:r>
        <w:rPr>
          <w:rFonts w:hint="eastAsia" w:ascii="仿宋_GB2312" w:eastAsia="仿宋_GB2312"/>
          <w:sz w:val="30"/>
          <w:szCs w:val="30"/>
        </w:rPr>
        <w:t>万元，</w:t>
      </w:r>
      <w:r>
        <w:rPr>
          <w:rFonts w:hint="eastAsia" w:ascii="仿宋_GB2312" w:eastAsia="仿宋_GB2312"/>
          <w:sz w:val="30"/>
          <w:szCs w:val="30"/>
          <w:lang w:eastAsia="zh-CN"/>
        </w:rPr>
        <w:t>减少</w:t>
      </w:r>
      <w:r>
        <w:rPr>
          <w:rFonts w:hint="eastAsia" w:ascii="仿宋_GB2312" w:eastAsia="仿宋_GB2312"/>
          <w:sz w:val="30"/>
          <w:szCs w:val="30"/>
        </w:rPr>
        <w:t>率为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sz w:val="30"/>
          <w:szCs w:val="30"/>
        </w:rPr>
        <w:t>%，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主要是2023年比上一年减少了项目经费的费用。</w:t>
      </w:r>
    </w:p>
    <w:p>
      <w:pPr>
        <w:numPr>
          <w:ilvl w:val="0"/>
          <w:numId w:val="2"/>
        </w:numPr>
        <w:spacing w:line="58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部门财政资金支出情况。</w:t>
      </w:r>
    </w:p>
    <w:p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  <w:lang w:eastAsia="zh-CN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  <w:t>年一般公共预算财政拨款基本支出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24.53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  <w:t>万元，其中：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  <w:t>人员经费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17.88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  <w:t>万元，主要包括：基本工资、津贴补贴、奖金、绩效工资、机关事业单位基本养老保险缴费、职业年金缴费、其他社会保障缴费、其他工资福利支出、医疗费、住房公积金等。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  <w:t>　　公用经费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6.65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  <w:t>万元，主要包括：办公费、印刷费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auto"/>
        </w:rPr>
        <w:t>差旅费、维修（护）费、公务用车运行维护费、其他商品和服务支出等。</w:t>
      </w:r>
    </w:p>
    <w:p>
      <w:pPr>
        <w:spacing w:line="58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2023年预算制定之初就制定了合理有效的</w:t>
      </w:r>
      <w:r>
        <w:rPr>
          <w:rFonts w:hint="eastAsia" w:ascii="仿宋_GB2312" w:eastAsia="仿宋_GB2312" w:cs="仿宋_GB2312"/>
          <w:sz w:val="32"/>
          <w:szCs w:val="32"/>
        </w:rPr>
        <w:t>部门绩效目标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，按照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2023年预算执行情况而言</w:t>
      </w:r>
      <w:r>
        <w:rPr>
          <w:rFonts w:hint="eastAsia" w:ascii="仿宋_GB2312" w:eastAsia="仿宋_GB2312" w:cs="仿宋_GB2312"/>
          <w:sz w:val="32"/>
          <w:szCs w:val="32"/>
        </w:rPr>
        <w:t>目标完成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状况良好</w:t>
      </w:r>
      <w:r>
        <w:rPr>
          <w:rFonts w:hint="eastAsia" w:ascii="仿宋_GB2312" w:eastAsia="仿宋_GB2312" w:cs="仿宋_GB2312"/>
          <w:sz w:val="32"/>
          <w:szCs w:val="32"/>
        </w:rPr>
        <w:t>、预算编制准确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度高</w:t>
      </w:r>
      <w:r>
        <w:rPr>
          <w:rFonts w:hint="eastAsia" w:ascii="仿宋_GB2312" w:eastAsia="仿宋_GB2312" w:cs="仿宋_GB2312"/>
          <w:sz w:val="32"/>
          <w:szCs w:val="32"/>
        </w:rPr>
        <w:t>、支出控制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合理</w:t>
      </w:r>
      <w:r>
        <w:rPr>
          <w:rFonts w:hint="eastAsia" w:ascii="仿宋_GB2312" w:eastAsia="仿宋_GB2312" w:cs="仿宋_GB2312"/>
          <w:sz w:val="32"/>
          <w:szCs w:val="32"/>
        </w:rPr>
        <w:t>、预算动态调整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eastAsia="仿宋_GB2312" w:cs="仿宋_GB2312"/>
          <w:sz w:val="32"/>
          <w:szCs w:val="32"/>
        </w:rPr>
        <w:t>、执行进度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合理。所有预算目标按时按量完成，无违规记录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人影办暂无专项预算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人影办及时开展</w:t>
      </w:r>
      <w:r>
        <w:rPr>
          <w:rFonts w:hint="eastAsia" w:ascii="仿宋_GB2312" w:eastAsia="仿宋_GB2312" w:cs="仿宋_GB2312"/>
          <w:sz w:val="32"/>
          <w:szCs w:val="32"/>
        </w:rPr>
        <w:t>部门自评质量、绩效目标公开和自评公开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并将所有资料对全社会公开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评价结论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自评情况来看，本单位支出绩效水平较高，整体上完成了年初设定的绩效目标，保障了本单位工作的正常运转，充分发挥了财政资金的经济效益和社会效益。</w:t>
      </w:r>
    </w:p>
    <w:p>
      <w:pPr>
        <w:spacing w:line="580" w:lineRule="exact"/>
        <w:ind w:left="420" w:left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 w:cs="仿宋_GB2312"/>
          <w:sz w:val="32"/>
          <w:szCs w:val="32"/>
        </w:rPr>
        <w:t>存在问题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由于人影办隶属于气象局，而气象局属于州管单位，县级气象局没有专业的财务，只有出纳，因此在关于各项地方财政的工作中存在各种不足。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（三）改进建议</w:t>
      </w:r>
    </w:p>
    <w:p>
      <w:pPr>
        <w:spacing w:line="58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本单位部门预算适中，各项工作均能按时保量完成，年初的预算基本能维持工作的正常运</w:t>
      </w:r>
      <w:r>
        <w:rPr>
          <w:rFonts w:hint="default" w:ascii="仿宋_GB2312" w:eastAsia="仿宋_GB2312" w:cs="仿宋_GB2312"/>
          <w:sz w:val="32"/>
          <w:szCs w:val="32"/>
        </w:rPr>
        <w:t>行。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11916"/>
    <w:multiLevelType w:val="singleLevel"/>
    <w:tmpl w:val="8B311916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2E6D0500"/>
    <w:multiLevelType w:val="singleLevel"/>
    <w:tmpl w:val="2E6D0500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5MzFiMzE1MTkwYjdjY2Q5NTg3OGE3OTRhN2M5MTcifQ=="/>
  </w:docVars>
  <w:rsids>
    <w:rsidRoot w:val="00000000"/>
    <w:rsid w:val="5FBB0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3</Pages>
  <Words>833</Words>
  <Characters>891</Characters>
  <Lines>52</Lines>
  <Paragraphs>29</Paragraphs>
  <TotalTime>0</TotalTime>
  <ScaleCrop>false</ScaleCrop>
  <LinksUpToDate>false</LinksUpToDate>
  <CharactersWithSpaces>895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2024-11-19T15:54:55Z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2C34B51F1F484851B66E7E363F57CE2E_12</vt:lpwstr>
  </property>
</Properties>
</file>