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eastAsia="仿宋_GB2312" w:cs="方正小标宋简体"/>
          <w:b/>
          <w:sz w:val="32"/>
          <w:szCs w:val="32"/>
        </w:rPr>
      </w:pPr>
      <w:r>
        <w:rPr>
          <w:rFonts w:hint="eastAsia" w:ascii="仿宋_GB2312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eastAsia="仿宋_GB2312" w:cs="方正小标宋简体"/>
          <w:b/>
          <w:sz w:val="32"/>
          <w:szCs w:val="32"/>
          <w:lang w:eastAsia="zh-CN"/>
        </w:rPr>
        <w:t>特</w:t>
      </w:r>
      <w:r>
        <w:rPr>
          <w:rFonts w:ascii="仿宋_GB2312" w:eastAsia="仿宋_GB2312" w:cs="方正小标宋简体"/>
          <w:b/>
          <w:sz w:val="32"/>
          <w:szCs w:val="32"/>
          <w:lang w:eastAsia="zh-CN"/>
        </w:rPr>
        <w:t>种</w:t>
      </w:r>
      <w:r>
        <w:rPr>
          <w:rFonts w:hint="eastAsia" w:ascii="仿宋_GB2312" w:eastAsia="仿宋_GB2312" w:cs="方正小标宋简体"/>
          <w:b/>
          <w:sz w:val="32"/>
          <w:szCs w:val="32"/>
          <w:lang w:eastAsia="zh-CN"/>
        </w:rPr>
        <w:t>专业技术用车</w:t>
      </w:r>
      <w:r>
        <w:rPr>
          <w:rFonts w:hint="eastAsia" w:ascii="仿宋_GB2312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评价工作开展及项目情况</w:t>
      </w:r>
    </w:p>
    <w:p>
      <w:pPr>
        <w:ind w:firstLine="960" w:firstLineChars="3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项目概况</w:t>
      </w:r>
    </w:p>
    <w:p>
      <w:pPr>
        <w:ind w:firstLine="960" w:firstLineChars="3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（一）项目资金申报及批复情况。202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eastAsia="仿宋" w:cs="仿宋"/>
          <w:sz w:val="32"/>
          <w:szCs w:val="32"/>
        </w:rPr>
        <w:t>年我中心申报</w:t>
      </w:r>
      <w:r>
        <w:rPr>
          <w:rFonts w:hint="eastAsia" w:asci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eastAsia="仿宋" w:cs="仿宋"/>
          <w:sz w:val="32"/>
          <w:szCs w:val="32"/>
        </w:rPr>
        <w:t>个项目，资金共计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3.0</w:t>
      </w:r>
      <w:r>
        <w:rPr>
          <w:rFonts w:hint="eastAsia" w:ascii="仿宋" w:eastAsia="仿宋" w:cs="仿宋"/>
          <w:sz w:val="32"/>
          <w:szCs w:val="32"/>
        </w:rPr>
        <w:t>万元，批复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3.0</w:t>
      </w:r>
      <w:r>
        <w:rPr>
          <w:rFonts w:hint="eastAsia" w:ascii="仿宋" w:eastAsia="仿宋" w:cs="仿宋"/>
          <w:sz w:val="32"/>
          <w:szCs w:val="32"/>
        </w:rPr>
        <w:t>万元，符合资金管理办法等相关规定。</w:t>
      </w:r>
    </w:p>
    <w:p>
      <w:pPr>
        <w:ind w:firstLine="960" w:firstLineChars="3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（二） 项目绩效目标。特种</w:t>
      </w:r>
      <w:r>
        <w:rPr>
          <w:rFonts w:hint="eastAsia" w:ascii="仿宋_GB2312" w:eastAsia="仿宋_GB2312"/>
          <w:sz w:val="32"/>
          <w:szCs w:val="32"/>
        </w:rPr>
        <w:t>专业技术用车运行经费包含车辆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运行、维护、维修、保险等费用，合计3.0万元。绩效目标为人工影响天气作业防雹保护面积≥1</w:t>
      </w:r>
      <w:r>
        <w:rPr>
          <w:rFonts w:ascii="仿宋_GB2312" w:eastAsia="仿宋_GB2312"/>
          <w:sz w:val="32"/>
          <w:szCs w:val="32"/>
        </w:rPr>
        <w:t>742</w:t>
      </w:r>
      <w:r>
        <w:rPr>
          <w:rFonts w:hint="eastAsia" w:ascii="仿宋_GB2312" w:eastAsia="仿宋_GB2312"/>
          <w:sz w:val="32"/>
          <w:szCs w:val="32"/>
        </w:rPr>
        <w:t>万平方千米（6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hint="eastAsia" w:ascii="仿宋_GB2312" w:eastAsia="仿宋_GB2312"/>
          <w:sz w:val="32"/>
          <w:szCs w:val="32"/>
        </w:rPr>
        <w:t>权重）；预警信息社会公众覆盖率≥7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hint="eastAsia" w:ascii="仿宋_GB2312" w:eastAsia="仿宋_GB2312"/>
          <w:sz w:val="32"/>
          <w:szCs w:val="32"/>
        </w:rPr>
        <w:t>（3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hint="eastAsia" w:ascii="仿宋_GB2312" w:eastAsia="仿宋_GB2312"/>
          <w:sz w:val="32"/>
          <w:szCs w:val="32"/>
        </w:rPr>
        <w:t>权重）。项目实施进度为1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项目绩效评价总体结论（包括2023年度部门预算项目支出绩效自评表）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2、项目管理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我中心项目财务管理制度建设、机构设置、会计核算及账务处理合规合理。对照项目资金管理办法，评价项目严格执行财务管理制度、财务处理及时、会计核算规范。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项目组织管理架构及具体实施流程，为人影车辆管理人员提出申请支付运行费用及其他维护、维修费，由分管领导和主要领导确认后支付，严格把关相关票据；气候干预经费主要是在特定供应商购买人影弹药，单位常规支付流程即可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3、项目绩效</w:t>
      </w:r>
    </w:p>
    <w:p>
      <w:pPr>
        <w:ind w:firstLine="963" w:firstLineChars="300"/>
        <w:rPr>
          <w:rFonts w:hint="eastAsia"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(一) 项目完成情况。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我中心严格对照项目计划完成目标，相关经费支出和计划相符。</w:t>
      </w:r>
    </w:p>
    <w:p>
      <w:pPr>
        <w:ind w:firstLine="963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(</w:t>
      </w:r>
      <w:r>
        <w:rPr>
          <w:rFonts w:hint="eastAsia" w:asci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eastAsia="仿宋" w:cs="仿宋"/>
          <w:b/>
          <w:bCs/>
          <w:sz w:val="32"/>
          <w:szCs w:val="32"/>
        </w:rPr>
        <w:t>)项目效益情况</w:t>
      </w:r>
      <w:r>
        <w:rPr>
          <w:rFonts w:hint="eastAsia" w:ascii="仿宋" w:eastAsia="仿宋" w:cs="仿宋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评估内容为防雹、消雨、冬季增雪作业次数及影响范围，与绩效目标是量化可考核，是相匹配的，与黑水县汛期防汛抗旱以及冬季森林（草原）防灭火政策相契合，与黑水防雷和人工影响天气服务中心长期规划目标、年度工作目标相一致。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人影作业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人工影响天气作业防雹保护面积≥1</w:t>
      </w:r>
      <w:r>
        <w:rPr>
          <w:rFonts w:ascii="仿宋_GB2312" w:eastAsia="仿宋_GB2312"/>
          <w:sz w:val="32"/>
          <w:szCs w:val="32"/>
        </w:rPr>
        <w:t>742</w:t>
      </w:r>
      <w:r>
        <w:rPr>
          <w:rFonts w:hint="eastAsia" w:ascii="仿宋_GB2312" w:eastAsia="仿宋_GB2312"/>
          <w:sz w:val="32"/>
          <w:szCs w:val="32"/>
        </w:rPr>
        <w:t>万平方千米；预警信息社会公众覆盖率≥7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hint="eastAsia" w:ascii="仿宋_GB2312" w:eastAsia="仿宋_GB2312"/>
          <w:sz w:val="32"/>
          <w:szCs w:val="32"/>
        </w:rPr>
        <w:t>，与绩效目标完全一致。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三、存在主要问题</w:t>
      </w:r>
    </w:p>
    <w:p>
      <w:pPr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一是预算编制中的目标管理还有待加强。二是未执行中期评估，三是制度、方法、机制等创新力度不够。</w:t>
      </w:r>
    </w:p>
    <w:p>
      <w:pPr>
        <w:numPr>
          <w:ilvl w:val="0"/>
          <w:numId w:val="2"/>
        </w:numPr>
        <w:spacing w:line="58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相关措施建议</w:t>
      </w:r>
    </w:p>
    <w:p>
      <w:pPr>
        <w:ind w:firstLine="960" w:firstLineChars="30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们将进一步重视预算的编制工作，提高预算编制的精确度，对相关人员加强培训，特别是针对《中华人民共和国预算法》《行政事业单位会计制度》等学习培训，规范部门预算收支核算，切实提高部门预算收支管理水平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left="420" w:firstLine="420"/>
        <w:rPr>
          <w:rFonts w:hint="eastAsia" w:asci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C6123"/>
    <w:multiLevelType w:val="singleLevel"/>
    <w:tmpl w:val="A86C61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BB19F55F"/>
    <w:multiLevelType w:val="singleLevel"/>
    <w:tmpl w:val="BB19F55F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mMzYjYyMDQ3ZDk0MzE0YjgzNDNkMDVjYWFiZGZjYzgifQ=="/>
  </w:docVars>
  <w:rsids>
    <w:rsidRoot w:val="00000000"/>
    <w:rsid w:val="3A124423"/>
    <w:rsid w:val="B3CE1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customStyle="1" w:styleId="9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3</Pages>
  <Words>873</Words>
  <Characters>909</Characters>
  <Lines>50</Lines>
  <Paragraphs>22</Paragraphs>
  <TotalTime>0</TotalTime>
  <ScaleCrop>false</ScaleCrop>
  <LinksUpToDate>false</LinksUpToDate>
  <CharactersWithSpaces>912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2024-10-29T14:59:00Z</cp:lastPrinted>
  <dcterms:modified xsi:type="dcterms:W3CDTF">2024-11-19T15:56:00Z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AB5018982F09436FA7AF967CC666E6AA_12</vt:lpwstr>
  </property>
</Properties>
</file>