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4D0A7">
      <w:pPr>
        <w:pStyle w:val="2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bCs w:val="0"/>
          <w:kern w:val="2"/>
          <w:sz w:val="32"/>
          <w:szCs w:val="32"/>
          <w:lang w:val="en-US" w:eastAsia="zh-CN" w:bidi="ar-SA"/>
        </w:rPr>
        <w:t>黑水防雷和人工影响天气服务中心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部门20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 w14:paraId="045AC1BB"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 w14:paraId="61BA827B"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 w14:paraId="76F0EC8C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 w14:paraId="36D7E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1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 w14:paraId="4013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1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黑水防雷和人工影响天气服务中心无下属二级核算单位。</w:t>
      </w:r>
    </w:p>
    <w:p w14:paraId="44812E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1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 w14:paraId="53F4B4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承担全县范围内的人工增雨（雪），防雹、消雾、森林防（灭）、火消除公共污染等活动。</w:t>
      </w:r>
    </w:p>
    <w:p w14:paraId="6A15C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负责全县防雷工程设施的实际施工、检测，开展防雷技术研究，规范防雷设施，进行防雷管理。防御雷电管理：防御雷电装置检测，防御雷电工程设计审核，防御雷电工程验收，防御雷电技术开发，防御雷电技术培训，防御雷电宣传，雷电灾情调查与鉴定。</w:t>
      </w:r>
    </w:p>
    <w:p w14:paraId="35F6B0EC">
      <w:pPr>
        <w:numPr>
          <w:ilvl w:val="0"/>
          <w:numId w:val="1"/>
        </w:numPr>
        <w:spacing w:line="580" w:lineRule="exact"/>
        <w:ind w:left="0" w:leftChars="0" w:firstLine="641" w:firstLine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 w14:paraId="4D063774">
      <w:pPr>
        <w:numPr>
          <w:ilvl w:val="0"/>
          <w:numId w:val="0"/>
        </w:numPr>
        <w:spacing w:line="580" w:lineRule="exact"/>
        <w:ind w:left="641" w:leftChars="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人影办总编制1名，其中：行政编制0名，事业编制1名,截至2024年末在职人员总数0人。</w:t>
      </w:r>
    </w:p>
    <w:p w14:paraId="2304BF39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 w14:paraId="27B3BE11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 w14:paraId="396D4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1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本单位本年度收入调整预算数为</w:t>
      </w:r>
      <w:r>
        <w:rPr>
          <w:rFonts w:hint="default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36.61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万元，收入决算数为36.61万元，预算完成度为100.00%，与2023年相比，增加9.08万元，增长率为33%，主要是2024年比上一年增加了项目经费的费用; 本年度支出调整预算数为36.61万元，支出决算数为36.61万元，预算支出完成度为100.00%，与2023年相比，增加9.08万元，增长率为33%，主要是2024年比上一年增加了项目经费的费用。</w:t>
      </w:r>
    </w:p>
    <w:p w14:paraId="3C8EB5C9"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 w14:paraId="30F8D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1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本单位本年度总收入为36.61万元。其中：一般公共预算财政拨款收入为36.61万元，占比100.00%。2024年总支出36.61万元，其中：社会保障和就业支出0.25万元，占总支出0.68%；卫生健康支出0.09万元，占总支出0.25%；自然资源海洋气象等支出36.15万元，占总支出98.74%;住房保障支出0.12万元，占总支出0.33%。</w:t>
      </w:r>
    </w:p>
    <w:p w14:paraId="4FAF7377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 w14:paraId="43BC6FC6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 w14:paraId="3682DA40">
      <w:pPr>
        <w:spacing w:line="58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2024年预算制定之初就制定了合理有效的</w:t>
      </w:r>
      <w:r>
        <w:rPr>
          <w:rFonts w:hint="eastAsia" w:ascii="仿宋_GB2312" w:eastAsia="仿宋_GB2312" w:cs="仿宋_GB2312"/>
          <w:sz w:val="32"/>
          <w:szCs w:val="32"/>
        </w:rPr>
        <w:t>部门绩效目标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，按照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2024年预算执行情况而言</w:t>
      </w:r>
      <w:r>
        <w:rPr>
          <w:rFonts w:hint="eastAsia" w:ascii="仿宋_GB2312" w:eastAsia="仿宋_GB2312" w:cs="仿宋_GB2312"/>
          <w:sz w:val="32"/>
          <w:szCs w:val="32"/>
        </w:rPr>
        <w:t>目标完成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状况良好</w:t>
      </w:r>
      <w:r>
        <w:rPr>
          <w:rFonts w:hint="eastAsia" w:ascii="仿宋_GB2312" w:eastAsia="仿宋_GB2312" w:cs="仿宋_GB2312"/>
          <w:sz w:val="32"/>
          <w:szCs w:val="32"/>
        </w:rPr>
        <w:t>、预算编制准确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度高</w:t>
      </w:r>
      <w:r>
        <w:rPr>
          <w:rFonts w:hint="eastAsia" w:ascii="仿宋_GB2312" w:eastAsia="仿宋_GB2312" w:cs="仿宋_GB2312"/>
          <w:sz w:val="32"/>
          <w:szCs w:val="32"/>
        </w:rPr>
        <w:t>、支出控制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合理</w:t>
      </w:r>
      <w:r>
        <w:rPr>
          <w:rFonts w:hint="eastAsia" w:ascii="仿宋_GB2312" w:eastAsia="仿宋_GB2312" w:cs="仿宋_GB2312"/>
          <w:sz w:val="32"/>
          <w:szCs w:val="32"/>
        </w:rPr>
        <w:t>、预算动态调整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及时</w:t>
      </w:r>
      <w:r>
        <w:rPr>
          <w:rFonts w:hint="eastAsia" w:ascii="仿宋_GB2312" w:eastAsia="仿宋_GB2312" w:cs="仿宋_GB2312"/>
          <w:sz w:val="32"/>
          <w:szCs w:val="32"/>
        </w:rPr>
        <w:t>、执行进度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合理。所有预算目标按时按量完成，无违规记录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p w14:paraId="2C8BF7A4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 w14:paraId="73C4B6B6"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人影办暂无专项预算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p w14:paraId="10656C3B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 w14:paraId="502EF498">
      <w:pPr>
        <w:spacing w:line="580" w:lineRule="exact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eastAsia="zh-CN"/>
        </w:rPr>
        <w:t>人影办及时开展</w:t>
      </w:r>
      <w:r>
        <w:rPr>
          <w:rFonts w:hint="eastAsia" w:ascii="仿宋_GB2312" w:eastAsia="仿宋_GB2312" w:cs="仿宋_GB2312"/>
          <w:sz w:val="32"/>
          <w:szCs w:val="32"/>
        </w:rPr>
        <w:t>部门自评质量、绩效目标公开和自评公开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并将所有资料对全社会公开</w:t>
      </w:r>
      <w:r>
        <w:rPr>
          <w:rFonts w:hint="eastAsia" w:ascii="仿宋_GB2312" w:eastAsia="仿宋_GB2312" w:cs="仿宋_GB2312"/>
          <w:sz w:val="32"/>
          <w:szCs w:val="32"/>
        </w:rPr>
        <w:t>。</w:t>
      </w:r>
    </w:p>
    <w:p w14:paraId="60E3BCAC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 w14:paraId="5209D9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zh-CN" w:eastAsia="zh-CN" w:bidi="ar-SA"/>
        </w:rPr>
        <w:t>我单位严格对照评分标准，202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zh-CN" w:eastAsia="zh-CN" w:bidi="ar-SA"/>
        </w:rPr>
        <w:t>年度财政部门整体支出绩效评价自评分数为100分（详情见附件）。</w:t>
      </w:r>
    </w:p>
    <w:p w14:paraId="23276109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（二）存在问题。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人影办隶属于气象局，而气象局属于州管单位，县气象局没有专业的财务，只有出纳，因此在关于各项地方财政的工作中存在各种不足。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zh-CN" w:eastAsia="zh-CN" w:bidi="ar-SA"/>
        </w:rPr>
        <w:t>支出预算资金的安排及使用上有不可预见性。</w:t>
      </w:r>
    </w:p>
    <w:p w14:paraId="55030FDE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（三）改进建议。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本单位部门预算适中，各项工作均能按时保量完成，年初的预算基本能维持工作的正常运</w:t>
      </w:r>
      <w:r>
        <w:rPr>
          <w:rFonts w:hint="default" w:ascii="仿宋_GB2312" w:eastAsia="仿宋_GB2312" w:cs="仿宋_GB2312"/>
          <w:sz w:val="32"/>
          <w:szCs w:val="32"/>
        </w:rPr>
        <w:t>行。</w:t>
      </w:r>
    </w:p>
    <w:p w14:paraId="014B8D99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  <w:bookmarkStart w:id="1" w:name="_GoBack"/>
      <w:bookmarkEnd w:id="1"/>
    </w:p>
    <w:p w14:paraId="554DB552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713DCE15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1221811A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3981006D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35BF6AEC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78DDC151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40EE12C6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28FE541B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2329C441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2D694972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17632B4F">
      <w:pPr>
        <w:spacing w:line="580" w:lineRule="exact"/>
        <w:ind w:firstLine="640" w:firstLineChars="200"/>
        <w:rPr>
          <w:rFonts w:hint="default" w:ascii="仿宋_GB2312" w:eastAsia="仿宋_GB2312" w:cs="仿宋_GB2312"/>
          <w:sz w:val="32"/>
          <w:szCs w:val="32"/>
        </w:rPr>
      </w:pPr>
    </w:p>
    <w:p w14:paraId="0574E4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eastAsia" w:ascii="Times New Roman" w:hAnsi="Times New Roman" w:eastAsia="黑体" w:cs="Times New Roman"/>
          <w:kern w:val="2"/>
          <w:sz w:val="28"/>
          <w:szCs w:val="2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28"/>
          <w:szCs w:val="22"/>
          <w:highlight w:val="none"/>
          <w:lang w:val="en-US" w:eastAsia="zh-CN" w:bidi="ar-SA"/>
        </w:rPr>
        <w:t>附表</w:t>
      </w:r>
      <w:r>
        <w:rPr>
          <w:rFonts w:hint="eastAsia" w:ascii="Times New Roman" w:hAnsi="Times New Roman" w:eastAsia="黑体" w:cs="Times New Roman"/>
          <w:kern w:val="2"/>
          <w:sz w:val="28"/>
          <w:szCs w:val="22"/>
          <w:highlight w:val="none"/>
          <w:lang w:val="en-US" w:eastAsia="zh-CN" w:bidi="ar-SA"/>
        </w:rPr>
        <w:t>1</w:t>
      </w:r>
    </w:p>
    <w:p w14:paraId="5138CE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outlineLvl w:val="9"/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部门预算绩效自评打分表</w:t>
      </w:r>
    </w:p>
    <w:tbl>
      <w:tblPr>
        <w:tblStyle w:val="5"/>
        <w:tblW w:w="108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462"/>
        <w:gridCol w:w="1665"/>
        <w:gridCol w:w="720"/>
        <w:gridCol w:w="4734"/>
        <w:gridCol w:w="756"/>
        <w:gridCol w:w="478"/>
      </w:tblGrid>
      <w:tr w14:paraId="41DE1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8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F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绩效评价指标指标分值</w:t>
            </w:r>
          </w:p>
        </w:tc>
        <w:tc>
          <w:tcPr>
            <w:tcW w:w="4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FC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B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7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D05A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73B3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7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9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F6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分值</w:t>
            </w:r>
          </w:p>
        </w:tc>
        <w:tc>
          <w:tcPr>
            <w:tcW w:w="4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B8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E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8A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9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1F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总体绩效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（65分）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A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履职效能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14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XX履职效果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8C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A7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部门整体绩效目标中选定3-5个核心职能目标，反映该项职能目标完成效果情况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A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17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666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9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1C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（25分）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CC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预算编制质量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3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E2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部门是否严格按要求编制年初部门预算，年初预算编制的科学性和准确性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8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E5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E9A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93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9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2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单位收入统筹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B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26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部门统筹自有收入程度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AE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0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C0B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B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3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DB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支出执行进度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F8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9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部门1至6月、1至10月预算执行情况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08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35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73B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7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39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7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预算年终结余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AC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7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部门整体年终预算结余情况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72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80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5EB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0E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CA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FB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严控一般性支出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A8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B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部门严控“三公”经费、会议、培训、差旅、办节办展、办公设备购置、信息网络及软件购置更新、课题经费等8项一般性支出情况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A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8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E48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E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5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1C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财务管理制度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04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9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部门财务管理制度建立情况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2A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23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06E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6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A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F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财务岗位设置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4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E1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部门财务岗位设置是否符合相关财务管理制度要求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4F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66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509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2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49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3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资金使用规范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9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F2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部门资金使用是否符合相关财务管理制度规定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6B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6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242D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D9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D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资产管理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3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人均资产变化率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D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2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部门人均资产变化情况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F2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3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770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36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03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A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资产利用率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1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36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部门资产超最低使用年限情况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F1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5E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ADC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4F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总体绩效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（65分）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A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资产管理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AC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资产盘活率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4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30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部门闲置一年以上的资产盘活情况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84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D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CE8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81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E1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采购管理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（6分）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2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支持中小企业发展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22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F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部门是否严格执行政府采购促进中小企业发展相关管理办法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5C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05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BA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1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E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采购执行率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C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8F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部门政府采购项目资金支付比例情况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F5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51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2B62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10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项目绩效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（35分）</w:t>
            </w: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EB1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BC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FD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CD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部门预算项目设立是否按规定履行评估论证、申报程序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D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72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4C0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58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2F7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9B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目标设置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FA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A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D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D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3A8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8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F76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F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项目入库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EA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64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部门预算项目是否在规定时间完成项目入库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6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4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BD1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2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F72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项目执行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（12分）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F7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执行同向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38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88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部门预算项目实际列支内容是否与绩效目标设置方向相符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CB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41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862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92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39D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EB6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项目调整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0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1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部门预算项目是否采取对应调整措施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F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8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AEA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C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3D2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A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执行结果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6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5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部门预算项目预算执行情况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23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81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4B2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2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F4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目标实现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（11分）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0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54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部门预算项目绩效目标数量指标完成情况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B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39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5BC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D9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5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B5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目标偏离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0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5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部门预算项目绩效目标数量指标实现程度与预期目标的偏离情况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C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0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A9ED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7A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4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6E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实现效果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D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B3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部门预算项目绩效目标效益指标实施效果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1F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D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546C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5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扣分项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3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4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被评价部门配合度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C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4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C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4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6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0546BE12">
      <w:pPr>
        <w:pStyle w:val="9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lang w:val="en-US" w:eastAsia="zh-CN"/>
        </w:rPr>
      </w:pPr>
    </w:p>
    <w:p w14:paraId="5CD48F9B">
      <w:pP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br w:type="page"/>
      </w:r>
    </w:p>
    <w:p w14:paraId="12C881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附表</w:t>
      </w:r>
      <w:r>
        <w:rPr>
          <w:rFonts w:hint="eastAsia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  <w:t>2</w:t>
      </w:r>
    </w:p>
    <w:tbl>
      <w:tblPr>
        <w:tblStyle w:val="5"/>
        <w:tblW w:w="10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9"/>
        <w:gridCol w:w="1347"/>
        <w:gridCol w:w="1273"/>
        <w:gridCol w:w="1100"/>
        <w:gridCol w:w="1144"/>
        <w:gridCol w:w="1"/>
        <w:gridCol w:w="1289"/>
        <w:gridCol w:w="1058"/>
        <w:gridCol w:w="926"/>
        <w:gridCol w:w="1113"/>
      </w:tblGrid>
      <w:tr w14:paraId="19244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2" w:hRule="exact"/>
          <w:jc w:val="center"/>
        </w:trPr>
        <w:tc>
          <w:tcPr>
            <w:tcW w:w="10560" w:type="dxa"/>
            <w:gridSpan w:val="10"/>
            <w:shd w:val="clear" w:color="auto" w:fill="auto"/>
            <w:vAlign w:val="center"/>
          </w:tcPr>
          <w:p w14:paraId="3D482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部门整体绩效目标完成情况自评表</w:t>
            </w:r>
          </w:p>
        </w:tc>
      </w:tr>
      <w:tr w14:paraId="0AFD3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0"/>
            <w:shd w:val="clear" w:color="auto" w:fill="auto"/>
            <w:vAlign w:val="center"/>
          </w:tcPr>
          <w:p w14:paraId="6DB3F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（202</w:t>
            </w:r>
            <w:r>
              <w:rPr>
                <w:rFonts w:hint="eastAsia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年度）</w:t>
            </w:r>
          </w:p>
        </w:tc>
      </w:tr>
      <w:tr w14:paraId="375D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560" w:type="dxa"/>
            <w:gridSpan w:val="10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7FA3E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单位：万元</w:t>
            </w:r>
          </w:p>
        </w:tc>
      </w:tr>
      <w:tr w14:paraId="33A5F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39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A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8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1"/>
                <w:szCs w:val="24"/>
              </w:rPr>
              <w:t>黑水防雷和人工影响天气服务中心（部门）</w:t>
            </w:r>
          </w:p>
        </w:tc>
      </w:tr>
      <w:tr w14:paraId="2E337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1D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90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C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</w:tr>
      <w:tr w14:paraId="19343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8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8AE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37.43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8F9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37.43</w:t>
            </w:r>
          </w:p>
        </w:tc>
        <w:tc>
          <w:tcPr>
            <w:tcW w:w="4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6265">
            <w:pPr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864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E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92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1E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完成全县易燃易爆场所的防雷检测，提出安全建议。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工影响天气作业覆盖森林火险等级持续偏高的冬春季，力争降低森林火险等级.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人影弹药安全储存，不出现重大安全事故。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人影作业安全有效，保障作业效果最大化。</w:t>
            </w:r>
          </w:p>
        </w:tc>
      </w:tr>
      <w:tr w14:paraId="0188B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年度主要任务</w:t>
            </w: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4B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主要内容</w:t>
            </w:r>
          </w:p>
        </w:tc>
      </w:tr>
      <w:tr w14:paraId="20012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EADB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2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防雷检测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6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通过对全县易燃易爆场所的防雷检测和建议，使全县易燃易爆场所防雷有效，降低安全生产事故。</w:t>
            </w:r>
          </w:p>
        </w:tc>
      </w:tr>
      <w:tr w14:paraId="1FD4B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E58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E1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人影弹药安全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8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人影弹药储存、运输、使用规范。</w:t>
            </w:r>
          </w:p>
        </w:tc>
      </w:tr>
      <w:tr w14:paraId="642B0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ACB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3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防雷宣传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DF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防御雷电技术开发，防御雷电技术培训，防御雷电宣传</w:t>
            </w:r>
          </w:p>
        </w:tc>
      </w:tr>
      <w:tr w14:paraId="30E64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9CE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F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预警信息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1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人影作业、气象预警信息覆盖全县所有乡镇。</w:t>
            </w:r>
          </w:p>
        </w:tc>
      </w:tr>
      <w:tr w14:paraId="19576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5D09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4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项目经费：特种专业技术用车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A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特种专业技术用车运行经费包含车辆用车运行、维护、维修、保险等费用，按时按规定进行，确保车辆正常</w:t>
            </w:r>
          </w:p>
        </w:tc>
      </w:tr>
      <w:tr w14:paraId="49A46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B79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C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项目经费：气候干预经费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7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保障黑水县森林（草原）防灭火工作以及汛期消雨、防雹工作正常开展，确保该项工作正常进行</w:t>
            </w:r>
          </w:p>
        </w:tc>
      </w:tr>
      <w:tr w14:paraId="06807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E0E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9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基本支出：人员经费按时发放和缴纳社会保险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4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完成人员工资发放和五险一金正常运转，工资、社会保障经费、住房公积金按时发放和缴纳。</w:t>
            </w:r>
          </w:p>
        </w:tc>
      </w:tr>
      <w:tr w14:paraId="44428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8E16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7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基本支出：定额公业务经费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8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保障单位日常运转，办公费、差旅费、公车运行维护费，确保单位正常运行</w:t>
            </w:r>
          </w:p>
        </w:tc>
      </w:tr>
      <w:tr w14:paraId="71E9F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F441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4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降低森林火险等级</w:t>
            </w:r>
          </w:p>
        </w:tc>
        <w:tc>
          <w:tcPr>
            <w:tcW w:w="66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5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通过人工影响天气作业，降低森林草原火险气象等级。</w:t>
            </w:r>
          </w:p>
        </w:tc>
      </w:tr>
      <w:tr w14:paraId="5F2F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B2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D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绩效指标性质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7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F06B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1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</w:tr>
      <w:tr w14:paraId="6F593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97E5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29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F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9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确保人员社会保险缴纳和工资应发1人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21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8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B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FE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2EDE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09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A3E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EC2E6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5F266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6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人影弹药安全储存，出现重大安全事故次数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99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B9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9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4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CC9D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EFE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2E90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F9B89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EEA25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45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人影作业防雹保护面积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1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2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B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万平方千米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D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8871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33A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974E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03FD7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758E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8C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在编车辆一辆，严格控制三公经费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FD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D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6.65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A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7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D8C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A3D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5E02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E78A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A974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8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降低森林火险等级次数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2A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36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2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BF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BAF1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B9C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5E3F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9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63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E2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预警信息社会公众覆盖率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3C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F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F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B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9A1C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E22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B03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6C377"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BA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F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运转保障率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E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1A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8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97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C853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20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D95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3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84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5F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保证服务对象对该工作的满意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5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81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1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2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44EA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DB2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A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FB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F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F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绩效指标性质</w:t>
            </w:r>
          </w:p>
        </w:tc>
        <w:tc>
          <w:tcPr>
            <w:tcW w:w="1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5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5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B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</w:tr>
    </w:tbl>
    <w:p w14:paraId="717F3F3F">
      <w:pPr>
        <w:rPr>
          <w:rFonts w:hint="eastAsia" w:ascii="仿宋" w:eastAsia="仿宋" w:cs="??_GB2312"/>
        </w:rPr>
      </w:pPr>
    </w:p>
    <w:p w14:paraId="054A2BB9">
      <w:pPr>
        <w:rPr>
          <w:rFonts w:hint="eastAsia" w:ascii="仿宋" w:eastAsia="仿宋" w:cs="??_GB2312"/>
        </w:rPr>
      </w:pPr>
    </w:p>
    <w:tbl>
      <w:tblPr>
        <w:tblStyle w:val="5"/>
        <w:tblpPr w:leftFromText="180" w:rightFromText="180" w:vertAnchor="text" w:horzAnchor="page" w:tblpX="292" w:tblpY="747"/>
        <w:tblOverlap w:val="never"/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7"/>
        <w:gridCol w:w="934"/>
        <w:gridCol w:w="707"/>
        <w:gridCol w:w="733"/>
        <w:gridCol w:w="1"/>
        <w:gridCol w:w="1943"/>
        <w:gridCol w:w="824"/>
        <w:gridCol w:w="352"/>
        <w:gridCol w:w="419"/>
        <w:gridCol w:w="1"/>
        <w:gridCol w:w="785"/>
        <w:gridCol w:w="1"/>
        <w:gridCol w:w="348"/>
        <w:gridCol w:w="1274"/>
        <w:gridCol w:w="365"/>
        <w:gridCol w:w="313"/>
        <w:gridCol w:w="408"/>
        <w:gridCol w:w="1325"/>
      </w:tblGrid>
      <w:tr w14:paraId="12870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4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0A9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C0C0C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C0C0C0"/>
                <w:kern w:val="0"/>
                <w:sz w:val="18"/>
                <w:szCs w:val="18"/>
                <w:u w:val="none"/>
                <w:lang w:val="en-US" w:eastAsia="zh-CN" w:bidi="ar"/>
              </w:rPr>
              <w:t>报表编号：510000_0013zp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2D132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57C08D"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8A12D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4DC15C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0EFECB"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05D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1280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BE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 w14:paraId="152B3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911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799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DB1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51322823T000007689951-年度考核奖</w:t>
            </w:r>
          </w:p>
        </w:tc>
      </w:tr>
      <w:tr w14:paraId="423AB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4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1D2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5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3EB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黑水防雷和人工影响天气服务中心（部门）</w:t>
            </w:r>
          </w:p>
        </w:tc>
        <w:tc>
          <w:tcPr>
            <w:tcW w:w="15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61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36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61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黑水防雷和人工影响天气服务中心</w:t>
            </w:r>
          </w:p>
        </w:tc>
      </w:tr>
      <w:tr w14:paraId="1E3B9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6F0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747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5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F3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523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CA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年度目标完成情况</w:t>
            </w:r>
          </w:p>
        </w:tc>
      </w:tr>
      <w:tr w14:paraId="2AD10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5B86B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F3482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5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EA7C51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23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6A2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对照年度目标，说明相关任务目标的完成情况（100字以内）</w:t>
            </w:r>
          </w:p>
        </w:tc>
      </w:tr>
      <w:tr w14:paraId="14521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56230D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563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9799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CAD545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79988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E6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3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4A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3E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BC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15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0D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96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权重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F0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得分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C5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原因</w:t>
            </w:r>
          </w:p>
        </w:tc>
      </w:tr>
      <w:tr w14:paraId="6DFA8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68F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E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总额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74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4C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F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</w:t>
            </w:r>
          </w:p>
        </w:tc>
        <w:tc>
          <w:tcPr>
            <w:tcW w:w="15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37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100.00%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ED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8A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04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0C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 w14:paraId="5B8DD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EF740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2E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2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7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ED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1.46</w:t>
            </w:r>
          </w:p>
        </w:tc>
        <w:tc>
          <w:tcPr>
            <w:tcW w:w="15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6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100.00%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C4F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15A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04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7CF06">
            <w:pPr>
              <w:rPr>
                <w:rFonts w:hint="eastAsia" w:ascii="黑体" w:hAnsi="黑体" w:eastAsia="黑体" w:cs="黑体"/>
                <w:i/>
                <w:color w:val="000000"/>
                <w:sz w:val="16"/>
                <w:szCs w:val="16"/>
                <w:u w:val="none"/>
              </w:rPr>
            </w:pPr>
          </w:p>
        </w:tc>
      </w:tr>
      <w:tr w14:paraId="72757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EDF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DD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F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12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D3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</w:t>
            </w:r>
          </w:p>
        </w:tc>
        <w:tc>
          <w:tcPr>
            <w:tcW w:w="15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3D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46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F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04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CB4449">
            <w:pPr>
              <w:rPr>
                <w:rFonts w:hint="eastAsia" w:ascii="黑体" w:hAnsi="黑体" w:eastAsia="黑体" w:cs="黑体"/>
                <w:i/>
                <w:color w:val="000000"/>
                <w:sz w:val="16"/>
                <w:szCs w:val="16"/>
                <w:u w:val="none"/>
              </w:rPr>
            </w:pPr>
          </w:p>
        </w:tc>
      </w:tr>
      <w:tr w14:paraId="59076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84AE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CC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7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1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</w:t>
            </w: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2BB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</w:t>
            </w:r>
          </w:p>
        </w:tc>
        <w:tc>
          <w:tcPr>
            <w:tcW w:w="15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3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0.00%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C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4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04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7173B">
            <w:pPr>
              <w:rPr>
                <w:rFonts w:hint="eastAsia" w:ascii="黑体" w:hAnsi="黑体" w:eastAsia="黑体" w:cs="黑体"/>
                <w:i/>
                <w:color w:val="000000"/>
                <w:sz w:val="16"/>
                <w:szCs w:val="16"/>
                <w:u w:val="none"/>
              </w:rPr>
            </w:pPr>
          </w:p>
        </w:tc>
      </w:tr>
      <w:tr w14:paraId="78493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91E8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E2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9680D9"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8E68C"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9FEC41"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ADA04"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B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8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04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16FD6">
            <w:pPr>
              <w:rPr>
                <w:rFonts w:hint="eastAsia" w:ascii="黑体" w:hAnsi="黑体" w:eastAsia="黑体" w:cs="黑体"/>
                <w:i/>
                <w:color w:val="000000"/>
                <w:sz w:val="16"/>
                <w:szCs w:val="16"/>
                <w:u w:val="none"/>
              </w:rPr>
            </w:pPr>
          </w:p>
        </w:tc>
      </w:tr>
      <w:tr w14:paraId="76E7C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76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BD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E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A6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6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6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指标值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02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1A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完成值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80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权重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A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得分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D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未完成原因分析</w:t>
            </w:r>
          </w:p>
        </w:tc>
      </w:tr>
      <w:tr w14:paraId="6D3EA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7E3D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C2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59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87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保障全员1人的年度考核奖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F2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＝</w:t>
            </w:r>
          </w:p>
        </w:tc>
        <w:tc>
          <w:tcPr>
            <w:tcW w:w="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35D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8E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人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5C4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7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AF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411E0"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</w:p>
        </w:tc>
      </w:tr>
      <w:tr w14:paraId="3F405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B56F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7EE3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B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EC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按时发放率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90E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＝</w:t>
            </w:r>
          </w:p>
        </w:tc>
        <w:tc>
          <w:tcPr>
            <w:tcW w:w="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F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C2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%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C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C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1A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A96FFE"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</w:p>
        </w:tc>
      </w:tr>
      <w:tr w14:paraId="6DC1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943D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3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E5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A0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提高在职人员薪资待遇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8F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＝</w:t>
            </w:r>
          </w:p>
        </w:tc>
        <w:tc>
          <w:tcPr>
            <w:tcW w:w="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F4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9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%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9A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A4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D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240097"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</w:p>
        </w:tc>
      </w:tr>
      <w:tr w14:paraId="62A5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5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592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209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D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C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保证服务对象对该工作的满意</w:t>
            </w:r>
          </w:p>
        </w:tc>
        <w:tc>
          <w:tcPr>
            <w:tcW w:w="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36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≥</w:t>
            </w:r>
          </w:p>
        </w:tc>
        <w:tc>
          <w:tcPr>
            <w:tcW w:w="7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D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CA4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%</w:t>
            </w:r>
          </w:p>
        </w:tc>
        <w:tc>
          <w:tcPr>
            <w:tcW w:w="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75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03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D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20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A4F942"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</w:p>
        </w:tc>
      </w:tr>
      <w:tr w14:paraId="081B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7595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40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19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90D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C1F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0C90A1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359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1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4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1073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B81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围绕资金执行同向、项目调整、执行结果进行绩效分析。执行同向：各项目实际列支内容是否与绩效目标设置方向相符。项目组织管理架构及具体实施流程，包括机构设置、监管措施、执行相关管理制度等符合相关规定。</w:t>
            </w: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项目调整：按照县委资金分配，设立项目，未调整。</w:t>
            </w: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执行结果：资金开支范围、标准及支付进度，支付依据合规合法，资金支付与预算相符。</w:t>
            </w:r>
          </w:p>
        </w:tc>
      </w:tr>
      <w:tr w14:paraId="38DA4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5CE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1073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658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支出预算资金的安排及使用上有不可预见性。</w:t>
            </w:r>
          </w:p>
        </w:tc>
      </w:tr>
      <w:tr w14:paraId="7A94C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E8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10733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D5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科学设定绩效目标，加强预算执行管理，合理安排预算执行。</w:t>
            </w:r>
          </w:p>
        </w:tc>
      </w:tr>
      <w:tr w14:paraId="255C1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56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22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项目负责人：任鹏飞</w:t>
            </w:r>
          </w:p>
        </w:tc>
        <w:tc>
          <w:tcPr>
            <w:tcW w:w="559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BE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财务负责人：陶秀夫</w:t>
            </w:r>
          </w:p>
        </w:tc>
      </w:tr>
      <w:tr w14:paraId="4D167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B4E319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4A906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1CFAB7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DEE2BD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B88DB5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C520B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5DE6CA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0F97BD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9BE666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C7DD3E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FB2BF9">
            <w:pPr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 w14:paraId="1FD4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12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F0D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1、报表说明:该报表查询项目信息、绩效目标信息、预算及执行情况，用于预算单位查询导出开展项目自评。</w:t>
            </w:r>
          </w:p>
        </w:tc>
      </w:tr>
      <w:tr w14:paraId="5FBF7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12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EF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2、取数口径：部门项目绩效目标表信息，包括年初预算、追加预算、结转预算和调整预算的绩效目标（以项目的最终绩效目标为准）。</w:t>
            </w:r>
          </w:p>
        </w:tc>
      </w:tr>
      <w:tr w14:paraId="4998F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12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26F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适用地区：全省范围</w:t>
            </w:r>
          </w:p>
        </w:tc>
      </w:tr>
      <w:tr w14:paraId="50EEF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128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38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适用用户：部门用户、单位用户</w:t>
            </w:r>
          </w:p>
        </w:tc>
      </w:tr>
    </w:tbl>
    <w:p w14:paraId="16F68FD1">
      <w:pPr>
        <w:widowControl/>
        <w:jc w:val="left"/>
        <w:rPr>
          <w:rFonts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C6171C"/>
    <w:multiLevelType w:val="singleLevel"/>
    <w:tmpl w:val="21C6171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7B93CBD"/>
    <w:multiLevelType w:val="singleLevel"/>
    <w:tmpl w:val="37B93CBD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34EB1F43"/>
    <w:rsid w:val="36435EC2"/>
    <w:rsid w:val="43EB7E23"/>
    <w:rsid w:val="4DD97D2F"/>
    <w:rsid w:val="559E5132"/>
    <w:rsid w:val="60D032A5"/>
    <w:rsid w:val="7A0A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7</Pages>
  <Words>3512</Words>
  <Characters>3810</Characters>
  <Lines>2</Lines>
  <Paragraphs>1</Paragraphs>
  <TotalTime>4</TotalTime>
  <ScaleCrop>false</ScaleCrop>
  <LinksUpToDate>false</LinksUpToDate>
  <CharactersWithSpaces>3812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WPS_1604458475</cp:lastModifiedBy>
  <dcterms:modified xsi:type="dcterms:W3CDTF">2025-09-10T03:30:30Z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3115989309D741DA945EE44A488D69E1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