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城市管理局</w:t>
      </w:r>
      <w:r>
        <w:rPr>
          <w:rFonts w:hint="eastAsia" w:ascii="仿宋_GB2312" w:hAnsi="黑体" w:eastAsia="仿宋_GB2312" w:cs="方正小标宋简体"/>
          <w:b/>
          <w:sz w:val="32"/>
          <w:szCs w:val="32"/>
        </w:rPr>
        <w:t>部门201</w:t>
      </w:r>
      <w:r>
        <w:rPr>
          <w:rFonts w:hint="eastAsia" w:ascii="仿宋_GB2312" w:hAnsi="黑体" w:eastAsia="仿宋_GB2312" w:cs="方正小标宋简体"/>
          <w:b/>
          <w:sz w:val="32"/>
          <w:szCs w:val="32"/>
          <w:lang w:val="en-US" w:eastAsia="zh-CN"/>
        </w:rPr>
        <w:t>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keepNext w:val="0"/>
        <w:keepLines w:val="0"/>
        <w:widowControl/>
        <w:suppressLineNumbers w:val="0"/>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r>
        <w:rPr>
          <w:rFonts w:hint="eastAsia" w:ascii="仿宋_GB2312" w:hAnsi="仿宋_GB2312" w:eastAsia="仿宋_GB2312" w:cs="仿宋_GB2312"/>
          <w:kern w:val="0"/>
          <w:sz w:val="32"/>
          <w:szCs w:val="32"/>
          <w:lang w:val="en-US" w:eastAsia="zh-CN" w:bidi="ar"/>
        </w:rPr>
        <w:t>黑水县城市管理局内设4个职能股室：办公室、城管监察股、环境卫生管理股、市政、园林管理股。下设城管监察大队和垃圾清管所2个直属事业机构，均为正股级建制。</w:t>
      </w:r>
    </w:p>
    <w:p>
      <w:pPr>
        <w:numPr>
          <w:ilvl w:val="0"/>
          <w:numId w:val="1"/>
        </w:numPr>
        <w:snapToGrid w:val="0"/>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napToGrid w:val="0"/>
        <w:spacing w:line="360" w:lineRule="auto"/>
        <w:ind w:firstLine="640" w:firstLineChars="200"/>
        <w:jc w:val="left"/>
        <w:rPr>
          <w:rFonts w:hint="eastAsia" w:ascii="仿宋" w:hAnsi="仿宋" w:eastAsia="仿宋" w:cs="仿宋"/>
          <w:color w:val="000000"/>
          <w:kern w:val="0"/>
          <w:sz w:val="30"/>
          <w:szCs w:val="30"/>
          <w:lang w:val="en-US" w:eastAsia="zh-CN" w:bidi="ar-SA"/>
        </w:rPr>
      </w:pPr>
      <w:r>
        <w:rPr>
          <w:rFonts w:hint="eastAsia" w:ascii="仿宋_GB2312" w:hAnsi="仿宋_GB2312" w:eastAsia="仿宋_GB2312" w:cs="仿宋_GB2312"/>
          <w:sz w:val="32"/>
          <w:szCs w:val="32"/>
        </w:rPr>
        <w:t>城市管理局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leftChars="200" w:firstLine="320" w:firstLineChars="100"/>
        <w:rPr>
          <w:rFonts w:ascii="仿宋_GB2312" w:hAnsi="仿宋" w:eastAsia="仿宋_GB2312" w:cs="仿宋_GB2312"/>
          <w:sz w:val="32"/>
          <w:szCs w:val="32"/>
        </w:rPr>
      </w:pPr>
      <w:r>
        <w:rPr>
          <w:rFonts w:hint="eastAsia" w:ascii="仿宋_GB2312" w:hAnsi="仿宋_GB2312" w:eastAsia="仿宋_GB2312" w:cs="仿宋_GB2312"/>
          <w:kern w:val="0"/>
          <w:sz w:val="32"/>
          <w:szCs w:val="32"/>
          <w:lang w:val="en-US" w:eastAsia="zh-CN"/>
        </w:rPr>
        <w:t>黑水县黑水县城市管理局</w:t>
      </w:r>
      <w:r>
        <w:rPr>
          <w:rFonts w:hint="eastAsia" w:ascii="仿宋_GB2312" w:hAnsi="仿宋_GB2312" w:eastAsia="仿宋_GB2312" w:cs="仿宋_GB2312"/>
          <w:kern w:val="0"/>
          <w:sz w:val="32"/>
          <w:szCs w:val="32"/>
        </w:rPr>
        <w:t>总编制</w:t>
      </w:r>
      <w:r>
        <w:rPr>
          <w:rFonts w:hint="eastAsia" w:ascii="仿宋_GB2312" w:hAnsi="仿宋_GB2312" w:eastAsia="仿宋_GB2312" w:cs="仿宋_GB2312"/>
          <w:kern w:val="0"/>
          <w:sz w:val="32"/>
          <w:szCs w:val="32"/>
          <w:u w:val="single"/>
        </w:rPr>
        <w:t xml:space="preserve"> 21</w:t>
      </w:r>
      <w:r>
        <w:rPr>
          <w:rFonts w:hint="eastAsia" w:ascii="仿宋_GB2312" w:hAnsi="仿宋_GB2312" w:eastAsia="仿宋_GB2312" w:cs="仿宋_GB2312"/>
          <w:kern w:val="0"/>
          <w:sz w:val="32"/>
          <w:szCs w:val="32"/>
        </w:rPr>
        <w:t>名,其中:行政编制</w:t>
      </w:r>
      <w:r>
        <w:rPr>
          <w:rFonts w:hint="eastAsia" w:ascii="仿宋_GB2312" w:hAnsi="仿宋_GB2312" w:eastAsia="仿宋_GB2312" w:cs="仿宋_GB2312"/>
          <w:kern w:val="0"/>
          <w:sz w:val="32"/>
          <w:szCs w:val="32"/>
          <w:u w:val="single"/>
        </w:rPr>
        <w:t xml:space="preserve"> 8</w:t>
      </w:r>
      <w:r>
        <w:rPr>
          <w:rFonts w:hint="eastAsia" w:ascii="仿宋_GB2312" w:hAnsi="仿宋_GB2312" w:eastAsia="仿宋_GB2312" w:cs="仿宋_GB2312"/>
          <w:kern w:val="0"/>
          <w:sz w:val="32"/>
          <w:szCs w:val="32"/>
        </w:rPr>
        <w:t>名,其他事业编制13人在职人员总数</w:t>
      </w:r>
      <w:r>
        <w:rPr>
          <w:rFonts w:hint="eastAsia" w:ascii="仿宋_GB2312" w:hAnsi="仿宋_GB2312" w:eastAsia="仿宋_GB2312" w:cs="仿宋_GB2312"/>
          <w:kern w:val="0"/>
          <w:sz w:val="32"/>
          <w:szCs w:val="32"/>
          <w:u w:val="single"/>
          <w:lang w:val="en-US" w:eastAsia="zh-CN"/>
        </w:rPr>
        <w:t>21</w:t>
      </w:r>
      <w:r>
        <w:rPr>
          <w:rFonts w:hint="eastAsia" w:ascii="仿宋_GB2312" w:hAnsi="仿宋_GB2312" w:eastAsia="仿宋_GB2312" w:cs="仿宋_GB2312"/>
          <w:kern w:val="0"/>
          <w:sz w:val="32"/>
          <w:szCs w:val="32"/>
        </w:rPr>
        <w:t>名，其中：行政人员</w:t>
      </w:r>
      <w:r>
        <w:rPr>
          <w:rFonts w:hint="eastAsia" w:ascii="仿宋_GB2312" w:hAnsi="仿宋_GB2312" w:eastAsia="仿宋_GB2312" w:cs="仿宋_GB2312"/>
          <w:kern w:val="0"/>
          <w:sz w:val="32"/>
          <w:szCs w:val="32"/>
          <w:u w:val="single"/>
        </w:rPr>
        <w:t xml:space="preserve"> 8</w:t>
      </w:r>
      <w:r>
        <w:rPr>
          <w:rFonts w:hint="eastAsia" w:ascii="仿宋_GB2312" w:hAnsi="仿宋_GB2312" w:eastAsia="仿宋_GB2312" w:cs="仿宋_GB2312"/>
          <w:kern w:val="0"/>
          <w:sz w:val="32"/>
          <w:szCs w:val="32"/>
        </w:rPr>
        <w:t>名；事业人员13人。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1．收入与预算对比分析：本单位2019年年初预算安排收入760.04万元，本年实际收入670.03万元，本年实际收入与年初预算降低90.01万元，下降13.44%。下降</w:t>
      </w:r>
      <w:bookmarkStart w:id="1" w:name="_GoBack"/>
      <w:bookmarkEnd w:id="1"/>
      <w:r>
        <w:rPr>
          <w:rFonts w:hint="eastAsia" w:ascii="仿宋_GB2312" w:hAnsi="仿宋_GB2312" w:eastAsia="仿宋_GB2312" w:cs="仿宋_GB2312"/>
          <w:kern w:val="0"/>
          <w:sz w:val="32"/>
          <w:szCs w:val="32"/>
          <w:lang w:val="en-US" w:eastAsia="zh-CN"/>
        </w:rPr>
        <w:t>主要原因是：项目资金纳入本单位预算，但财政未上指标</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2．本年收入与上年收入的对比分析</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本年度实际收入,670.03万元，比上年度收入675.54万元，减少了5.51万元，主要原因是：本年日常公用经费较去年降低。</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3．本年收入结构分析：本年收入670.03万元，其中财政拨款收入670.03万元，占本年收入的100%。</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napToGrid w:val="0"/>
        <w:spacing w:line="360" w:lineRule="auto"/>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1．支出与预算对比分析：本年预算支出760.04万元，本年决算数支出850.77万元，本年实际支出比预算支出增加90.73万元，差异率10.67%。实际支出增加主要原因项目支出及增加。</w:t>
      </w:r>
    </w:p>
    <w:p>
      <w:pPr>
        <w:snapToGrid w:val="0"/>
        <w:spacing w:line="360" w:lineRule="auto"/>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2．本年支出与上年支出的对比分析: 本年度实际支出850.77万元，比上年度支出数662.96万元，增加了187.81万元，增幅率28.33%，差异原因主要是本年工资、五险一金基数、目标奖等人员经费增加及项目支出数增加。</w:t>
      </w:r>
    </w:p>
    <w:p>
      <w:pPr>
        <w:snapToGrid w:val="0"/>
        <w:spacing w:line="360" w:lineRule="auto"/>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3.本年支出结构分析: 本年支出850.77万元，按资金来源分析：其中财政拨款支出850.77万元，占本年总支出的100%，按支出性质分析：基本支出361.74万元，占本年总支出的42.52%,项目支出489.03万元,占本年总支出的57.48%；按支出经济分类：工资福利支出309.28万元，占本年支出36.36%，商品和服务支出467.12万元，占本年支出54.91%，对个人和家庭的补助0.74万元，占本年支出0.09%，其他资本性支出73.62万元，占8.66%</w:t>
      </w:r>
    </w:p>
    <w:p>
      <w:pPr>
        <w:spacing w:line="580" w:lineRule="exact"/>
        <w:ind w:firstLine="320" w:firstLineChars="1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r>
        <w:rPr>
          <w:rFonts w:hint="eastAsia" w:ascii="仿宋_GB2312" w:hAnsi="仿宋_GB2312" w:eastAsia="仿宋_GB2312" w:cs="仿宋_GB2312"/>
          <w:kern w:val="0"/>
          <w:sz w:val="32"/>
          <w:szCs w:val="32"/>
          <w:lang w:val="en-US" w:eastAsia="zh-CN"/>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40" w:firstLineChars="200"/>
        <w:rPr>
          <w:rFonts w:hint="eastAsia" w:ascii="仿宋" w:hAnsi="仿宋" w:eastAsia="仿宋" w:cs="仿宋"/>
          <w:color w:val="000000"/>
          <w:sz w:val="30"/>
          <w:szCs w:val="30"/>
        </w:rPr>
      </w:pPr>
      <w:r>
        <w:rPr>
          <w:rFonts w:hint="eastAsia" w:ascii="仿宋_GB2312" w:hAnsi="仿宋_GB2312" w:eastAsia="仿宋_GB2312" w:cs="仿宋_GB2312"/>
          <w:kern w:val="0"/>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本年本单位在执行公务过程中严格执行“厉行节约、反对浪费”的规定，严格控制“三公”经费支出，加强公务用车管理，努力降低维修费用。</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部门预算决算在财政部门批复后及时填报预算公开资料、决算公开资料报表报财政审核后在政府信息公开网上公示。</w:t>
      </w:r>
    </w:p>
    <w:p>
      <w:pPr>
        <w:spacing w:line="580" w:lineRule="exact"/>
        <w:ind w:firstLine="320" w:firstLineChars="1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360" w:lineRule="auto"/>
        <w:ind w:firstLine="645"/>
        <w:jc w:val="left"/>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（一）评价结论。</w:t>
      </w:r>
      <w:r>
        <w:rPr>
          <w:rFonts w:hint="eastAsia" w:ascii="仿宋_GB2312" w:hAnsi="仿宋_GB2312" w:eastAsia="仿宋_GB2312" w:cs="仿宋_GB2312"/>
          <w:kern w:val="0"/>
          <w:sz w:val="32"/>
          <w:szCs w:val="32"/>
          <w:lang w:val="en-US" w:eastAsia="zh-CN" w:bidi="ar-SA"/>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预算支出在保障本单位工作运转、履行职能职责上整体情况良好。具体有：2019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结合评价得分评价结果为良好。</w:t>
      </w:r>
    </w:p>
    <w:p>
      <w:pPr>
        <w:numPr>
          <w:ilvl w:val="0"/>
          <w:numId w:val="2"/>
        </w:num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存在问题。</w:t>
      </w:r>
      <w:r>
        <w:rPr>
          <w:rFonts w:hint="eastAsia" w:ascii="仿宋_GB2312" w:hAnsi="仿宋_GB2312" w:eastAsia="仿宋_GB2312" w:cs="仿宋_GB2312"/>
          <w:kern w:val="0"/>
          <w:sz w:val="32"/>
          <w:szCs w:val="32"/>
          <w:lang w:val="en-US" w:eastAsia="zh-CN" w:bidi="ar-SA"/>
        </w:rPr>
        <w:t> </w:t>
      </w:r>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kern w:val="0"/>
          <w:sz w:val="32"/>
          <w:szCs w:val="32"/>
          <w:lang w:val="en-US" w:eastAsia="zh-CN" w:bidi="ar-SA"/>
        </w:rPr>
        <w:t>预算编制不够精细。</w:t>
      </w:r>
    </w:p>
    <w:p>
      <w:pPr>
        <w:numPr>
          <w:ilvl w:val="0"/>
          <w:numId w:val="2"/>
        </w:numPr>
        <w:spacing w:line="58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改进建议。</w:t>
      </w:r>
      <w:r>
        <w:rPr>
          <w:rFonts w:hint="eastAsia" w:ascii="仿宋_GB2312" w:hAnsi="仿宋_GB2312" w:eastAsia="仿宋_GB2312" w:cs="仿宋_GB2312"/>
          <w:kern w:val="0"/>
          <w:sz w:val="32"/>
          <w:szCs w:val="32"/>
          <w:lang w:val="en-US" w:eastAsia="zh-CN" w:bidi="ar-SA"/>
        </w:rPr>
        <w:t>我们将进一步重视预算的编制工作，提高预算编制的精确度，提高财政资金使用效率，尽量减少预算执行调整、结转和结余注销的情形。</w:t>
      </w: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p>
    <w:p>
      <w:pPr>
        <w:widowControl/>
        <w:ind w:firstLine="4800" w:firstLineChars="15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黑水县城市管理局</w:t>
      </w:r>
    </w:p>
    <w:p>
      <w:pPr>
        <w:widowControl/>
        <w:ind w:firstLine="4800" w:firstLineChars="15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2020年8月7日</w:t>
      </w: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7FDE"/>
    <w:multiLevelType w:val="singleLevel"/>
    <w:tmpl w:val="84B87FDE"/>
    <w:lvl w:ilvl="0" w:tentative="0">
      <w:start w:val="2"/>
      <w:numFmt w:val="chineseCounting"/>
      <w:suff w:val="nothing"/>
      <w:lvlText w:val="（%1）"/>
      <w:lvlJc w:val="left"/>
      <w:rPr>
        <w:rFonts w:hint="eastAsia"/>
      </w:rPr>
    </w:lvl>
  </w:abstractNum>
  <w:abstractNum w:abstractNumId="1">
    <w:nsid w:val="D5974890"/>
    <w:multiLevelType w:val="singleLevel"/>
    <w:tmpl w:val="D597489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1E81DCF"/>
    <w:rsid w:val="03465822"/>
    <w:rsid w:val="0EEA52E7"/>
    <w:rsid w:val="1A0E5BAF"/>
    <w:rsid w:val="21826ABC"/>
    <w:rsid w:val="26761A0C"/>
    <w:rsid w:val="2D053D05"/>
    <w:rsid w:val="2EFE28C8"/>
    <w:rsid w:val="36435EC2"/>
    <w:rsid w:val="42125003"/>
    <w:rsid w:val="486C7ACE"/>
    <w:rsid w:val="48C220E1"/>
    <w:rsid w:val="5D786B06"/>
    <w:rsid w:val="668A6CC1"/>
    <w:rsid w:val="6A5E2088"/>
    <w:rsid w:val="6A6810B0"/>
    <w:rsid w:val="6B117DDB"/>
    <w:rsid w:val="738F6161"/>
    <w:rsid w:val="739C17BF"/>
    <w:rsid w:val="747A095C"/>
    <w:rsid w:val="782C342E"/>
    <w:rsid w:val="7C7B5E17"/>
    <w:rsid w:val="7CB62F12"/>
    <w:rsid w:val="7EB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5</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www..com</cp:lastModifiedBy>
  <dcterms:modified xsi:type="dcterms:W3CDTF">2020-08-10T07:30:05Z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