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黑水县城市管理局</w:t>
      </w:r>
      <w:r>
        <w:rPr>
          <w:rFonts w:hint="eastAsia" w:ascii="仿宋_GB2312" w:hAnsi="黑体" w:eastAsia="仿宋_GB2312" w:cs="方正小标宋简体"/>
          <w:b/>
          <w:sz w:val="32"/>
          <w:szCs w:val="32"/>
        </w:rPr>
        <w:t>部门</w:t>
      </w:r>
      <w:r>
        <w:rPr>
          <w:rFonts w:hint="eastAsia" w:ascii="仿宋_GB2312" w:hAnsi="黑体" w:eastAsia="仿宋_GB2312" w:cs="方正小标宋简体"/>
          <w:b/>
          <w:sz w:val="32"/>
          <w:szCs w:val="32"/>
          <w:lang w:val="en-US" w:eastAsia="zh-CN"/>
        </w:rPr>
        <w:t>2021</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keepNext w:val="0"/>
        <w:keepLines w:val="0"/>
        <w:widowControl/>
        <w:suppressLineNumbers w:val="0"/>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r>
        <w:rPr>
          <w:rFonts w:hint="eastAsia" w:ascii="仿宋_GB2312" w:hAnsi="仿宋_GB2312" w:eastAsia="仿宋_GB2312" w:cs="仿宋_GB2312"/>
          <w:kern w:val="0"/>
          <w:sz w:val="32"/>
          <w:szCs w:val="32"/>
          <w:lang w:val="en-US" w:eastAsia="zh-CN" w:bidi="ar"/>
        </w:rPr>
        <w:t>黑水县城市管理局内设4个职能股室：办公室、城管监察股、环境卫生管理股、市政、园林管理股。下设城管监察大队和垃圾清管所2个直属事业机构，均为正股级建制。</w:t>
      </w:r>
    </w:p>
    <w:p>
      <w:pPr>
        <w:numPr>
          <w:ilvl w:val="0"/>
          <w:numId w:val="1"/>
        </w:numPr>
        <w:snapToGrid w:val="0"/>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napToGrid w:val="0"/>
        <w:spacing w:line="360" w:lineRule="auto"/>
        <w:ind w:firstLine="640" w:firstLineChars="200"/>
        <w:jc w:val="left"/>
        <w:rPr>
          <w:rFonts w:hint="eastAsia" w:ascii="仿宋" w:hAnsi="仿宋" w:eastAsia="仿宋" w:cs="仿宋"/>
          <w:color w:val="000000"/>
          <w:kern w:val="0"/>
          <w:sz w:val="30"/>
          <w:szCs w:val="30"/>
          <w:lang w:val="en-US" w:eastAsia="zh-CN" w:bidi="ar-SA"/>
        </w:rPr>
      </w:pPr>
      <w:r>
        <w:rPr>
          <w:rFonts w:hint="eastAsia" w:ascii="仿宋_GB2312" w:hAnsi="仿宋_GB2312" w:eastAsia="仿宋_GB2312" w:cs="仿宋_GB2312"/>
          <w:sz w:val="32"/>
          <w:szCs w:val="32"/>
        </w:rPr>
        <w:t>城市管理局主要负责城区范围内的环境卫生管理工作督促检查、落实对城区街道、广场、公共场所等环境的清扫保洁，对城区生活垃圾等废弃物的收集、清运、对城区环境卫生设施的保洁等，对城区范围内的道路、桥梁、广场、路灯等市政设施实行统一维护和管理。对城区范围内的花草、树木等园林绿化实行统一维护和管理。</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numPr>
          <w:ilvl w:val="0"/>
          <w:numId w:val="0"/>
        </w:numPr>
        <w:spacing w:line="580" w:lineRule="exact"/>
        <w:ind w:leftChars="200" w:firstLine="320" w:firstLineChars="100"/>
        <w:rPr>
          <w:rFonts w:ascii="仿宋_GB2312" w:hAnsi="仿宋" w:eastAsia="仿宋_GB2312" w:cs="仿宋_GB2312"/>
          <w:sz w:val="32"/>
          <w:szCs w:val="32"/>
        </w:rPr>
      </w:pPr>
      <w:r>
        <w:rPr>
          <w:rFonts w:hint="eastAsia" w:ascii="仿宋_GB2312" w:hAnsi="仿宋_GB2312" w:eastAsia="仿宋_GB2312" w:cs="仿宋_GB2312"/>
          <w:kern w:val="0"/>
          <w:sz w:val="32"/>
          <w:szCs w:val="32"/>
          <w:lang w:val="en-US" w:eastAsia="zh-CN"/>
        </w:rPr>
        <w:t>黑水县黑水县城市管理局</w:t>
      </w:r>
      <w:r>
        <w:rPr>
          <w:rFonts w:hint="eastAsia" w:ascii="仿宋_GB2312" w:hAnsi="仿宋_GB2312" w:eastAsia="仿宋_GB2312" w:cs="仿宋_GB2312"/>
          <w:kern w:val="0"/>
          <w:sz w:val="32"/>
          <w:szCs w:val="32"/>
        </w:rPr>
        <w:t>总编制</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25</w:t>
      </w:r>
      <w:r>
        <w:rPr>
          <w:rFonts w:hint="eastAsia" w:ascii="仿宋_GB2312" w:hAnsi="仿宋_GB2312" w:eastAsia="仿宋_GB2312" w:cs="仿宋_GB2312"/>
          <w:kern w:val="0"/>
          <w:sz w:val="32"/>
          <w:szCs w:val="32"/>
        </w:rPr>
        <w:t>名,其中:行政编制</w:t>
      </w:r>
      <w:r>
        <w:rPr>
          <w:rFonts w:hint="eastAsia" w:ascii="仿宋_GB2312" w:hAnsi="仿宋_GB2312" w:eastAsia="仿宋_GB2312" w:cs="仿宋_GB2312"/>
          <w:kern w:val="0"/>
          <w:sz w:val="32"/>
          <w:szCs w:val="32"/>
          <w:u w:val="single"/>
        </w:rPr>
        <w:t xml:space="preserve"> 8</w:t>
      </w:r>
      <w:r>
        <w:rPr>
          <w:rFonts w:hint="eastAsia" w:ascii="仿宋_GB2312" w:hAnsi="仿宋_GB2312" w:eastAsia="仿宋_GB2312" w:cs="仿宋_GB2312"/>
          <w:kern w:val="0"/>
          <w:sz w:val="32"/>
          <w:szCs w:val="32"/>
        </w:rPr>
        <w:t>名,其他事业编制</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在职人员总数</w:t>
      </w:r>
      <w:r>
        <w:rPr>
          <w:rFonts w:hint="eastAsia" w:ascii="仿宋_GB2312" w:hAnsi="仿宋_GB2312" w:eastAsia="仿宋_GB2312" w:cs="仿宋_GB2312"/>
          <w:kern w:val="0"/>
          <w:sz w:val="32"/>
          <w:szCs w:val="32"/>
          <w:u w:val="single"/>
          <w:lang w:val="en-US" w:eastAsia="zh-CN"/>
        </w:rPr>
        <w:t>23</w:t>
      </w:r>
      <w:r>
        <w:rPr>
          <w:rFonts w:hint="eastAsia" w:ascii="仿宋_GB2312" w:hAnsi="仿宋_GB2312" w:eastAsia="仿宋_GB2312" w:cs="仿宋_GB2312"/>
          <w:kern w:val="0"/>
          <w:sz w:val="32"/>
          <w:szCs w:val="32"/>
        </w:rPr>
        <w:t>名，其中：行政人员</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7</w:t>
      </w:r>
      <w:r>
        <w:rPr>
          <w:rFonts w:hint="eastAsia" w:ascii="仿宋_GB2312" w:hAnsi="仿宋_GB2312" w:eastAsia="仿宋_GB2312" w:cs="仿宋_GB2312"/>
          <w:kern w:val="0"/>
          <w:sz w:val="32"/>
          <w:szCs w:val="32"/>
        </w:rPr>
        <w:t>名；事业人员</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napToGrid w:val="0"/>
        <w:spacing w:line="360"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1．收入与预算对比分析：本单位2021年年初预算安排收入529.58万元，本年实际收入1139.34万元，本年实际收入与年初预算增加609.76万元。下降主要原因是：项目资金纳入本单位预算，但财政未上指标。</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2．本年收入与上年收入的对比分析</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本年度实际收入1139.34万元，比上年度收入759.41万元，减少了379.93万元，主要原因是：本年日常公用经费较去年增加。</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3．本年收入结构分析：本年收入1139.34万元，其中财政拨款收入1139.34万元，占本年收入的100%。</w:t>
      </w:r>
    </w:p>
    <w:p>
      <w:pPr>
        <w:snapToGrid w:val="0"/>
        <w:spacing w:line="360"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napToGrid w:val="0"/>
        <w:spacing w:line="360" w:lineRule="auto"/>
        <w:ind w:firstLine="640" w:firstLineChars="200"/>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1．支出与预算对比分析：本年预算支出580.56万元，本年决算数支出1437.38万元，本年实际支出比预算支出增加856.82万元。实际支出增加主要原因项目支出及增加。</w:t>
      </w:r>
    </w:p>
    <w:p>
      <w:pPr>
        <w:snapToGrid w:val="0"/>
        <w:spacing w:line="360" w:lineRule="auto"/>
        <w:ind w:firstLine="640" w:firstLineChars="200"/>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2．本年支出与上年支出的对比分析: 本年度实际支出1437.38万元，比上年度支出数946.24万元，增加了491.14万元，差异原因主要是本年工资、五险一金基数、目标奖等人员经费增加及项目支出数增加。</w:t>
      </w:r>
    </w:p>
    <w:p>
      <w:pPr>
        <w:snapToGrid w:val="0"/>
        <w:spacing w:line="360" w:lineRule="auto"/>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3.本年支出结构分析: 本年支出1437.38万元，按资金来源分析：其中财政拨款支出1437.38万元，占本年总支出的100%，按支出性质分析：基本支出632.73万元，占本年总支出的44.02%,项目支出804.65万元,占本年总支出的55.98%；按支出经济分类：工资福利支出326.37万元，占本年支出22.71%，商品和服务支出1067.66万元，占本年支出74.28%，对个人和家庭的补助2.03万元，占本年支出0.14%，其他资本性支出41.32万元，占2.87%。</w:t>
      </w:r>
    </w:p>
    <w:p>
      <w:pPr>
        <w:spacing w:line="580" w:lineRule="exact"/>
        <w:ind w:firstLine="320" w:firstLineChars="1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napToGrid w:val="0"/>
        <w:spacing w:line="360"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320" w:firstLineChars="1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r>
        <w:rPr>
          <w:rFonts w:hint="eastAsia" w:ascii="仿宋_GB2312" w:hAnsi="仿宋_GB2312" w:eastAsia="仿宋_GB2312" w:cs="仿宋_GB2312"/>
          <w:kern w:val="0"/>
          <w:sz w:val="32"/>
          <w:szCs w:val="32"/>
          <w:lang w:val="en-US" w:eastAsia="zh-CN"/>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napToGrid w:val="0"/>
        <w:spacing w:line="360" w:lineRule="auto"/>
        <w:ind w:firstLine="640" w:firstLineChars="200"/>
        <w:rPr>
          <w:rFonts w:hint="eastAsia" w:ascii="仿宋" w:hAnsi="仿宋" w:eastAsia="仿宋" w:cs="仿宋"/>
          <w:color w:val="000000"/>
          <w:sz w:val="30"/>
          <w:szCs w:val="30"/>
        </w:rPr>
      </w:pPr>
      <w:r>
        <w:rPr>
          <w:rFonts w:hint="eastAsia" w:ascii="仿宋_GB2312" w:hAnsi="仿宋_GB2312" w:eastAsia="仿宋_GB2312" w:cs="仿宋_GB2312"/>
          <w:kern w:val="0"/>
          <w:sz w:val="32"/>
          <w:szCs w:val="32"/>
          <w:lang w:val="en-US" w:eastAsia="zh-CN"/>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320" w:firstLineChars="1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本年本单位在执行公务过程中严格执行“厉行节约、反对浪费”的规定，严格控制“三公”经费支出，加强公务用车管理，努力降低维修费用。</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部门预算决算在财政部门批复后及时填报预算公开资料、决算公开资料报表报财政审核后在政府信息公开网上公示。</w:t>
      </w:r>
    </w:p>
    <w:p>
      <w:pPr>
        <w:spacing w:line="580" w:lineRule="exact"/>
        <w:ind w:firstLine="320" w:firstLineChars="1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360" w:lineRule="auto"/>
        <w:ind w:firstLine="645"/>
        <w:jc w:val="left"/>
        <w:rPr>
          <w:rFonts w:hint="eastAsia" w:ascii="仿宋_GB2312" w:hAnsi="仿宋_GB2312" w:eastAsia="仿宋_GB2312" w:cs="仿宋_GB2312"/>
          <w:kern w:val="0"/>
          <w:sz w:val="32"/>
          <w:szCs w:val="32"/>
          <w:lang w:val="en-US" w:eastAsia="zh-CN" w:bidi="ar-SA"/>
        </w:rPr>
      </w:pPr>
      <w:r>
        <w:rPr>
          <w:rFonts w:hint="eastAsia" w:ascii="仿宋_GB2312" w:hAnsi="仿宋" w:eastAsia="仿宋_GB2312" w:cs="仿宋_GB2312"/>
          <w:sz w:val="32"/>
          <w:szCs w:val="32"/>
        </w:rPr>
        <w:t>（一）评价结论。</w:t>
      </w:r>
      <w:r>
        <w:rPr>
          <w:rFonts w:hint="eastAsia" w:ascii="仿宋_GB2312" w:hAnsi="仿宋_GB2312" w:eastAsia="仿宋_GB2312" w:cs="仿宋_GB2312"/>
          <w:kern w:val="0"/>
          <w:sz w:val="32"/>
          <w:szCs w:val="32"/>
          <w:lang w:val="en-US" w:eastAsia="zh-CN" w:bidi="ar-SA"/>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pStyle w:val="4"/>
        <w:shd w:val="clear" w:color="auto" w:fill="FFFFFF"/>
        <w:spacing w:before="0" w:beforeAutospacing="0" w:after="0" w:afterAutospacing="0"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预算支出在保障本单位工作运转、履行职能职责上整体情况良好。具体有：2021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spacing w:line="360" w:lineRule="auto"/>
        <w:ind w:firstLine="645"/>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结合评价得分评价结果为良好。</w:t>
      </w:r>
    </w:p>
    <w:p>
      <w:pPr>
        <w:numPr>
          <w:ilvl w:val="0"/>
          <w:numId w:val="2"/>
        </w:numPr>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 w:eastAsia="仿宋_GB2312" w:cs="仿宋_GB2312"/>
          <w:sz w:val="32"/>
          <w:szCs w:val="32"/>
        </w:rPr>
        <w:t>存在问题。</w:t>
      </w:r>
      <w:r>
        <w:rPr>
          <w:rFonts w:hint="eastAsia" w:ascii="仿宋_GB2312" w:hAnsi="仿宋_GB2312" w:eastAsia="仿宋_GB2312" w:cs="仿宋_GB2312"/>
          <w:kern w:val="0"/>
          <w:sz w:val="32"/>
          <w:szCs w:val="32"/>
          <w:lang w:val="en-US" w:eastAsia="zh-CN" w:bidi="ar-SA"/>
        </w:rPr>
        <w:t> </w:t>
      </w:r>
    </w:p>
    <w:p>
      <w:pPr>
        <w:numPr>
          <w:ilvl w:val="0"/>
          <w:numId w:val="0"/>
        </w:numPr>
        <w:spacing w:line="58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kern w:val="0"/>
          <w:sz w:val="32"/>
          <w:szCs w:val="32"/>
          <w:lang w:val="en-US" w:eastAsia="zh-CN" w:bidi="ar-SA"/>
        </w:rPr>
        <w:t>预算编制不够精细。</w:t>
      </w:r>
    </w:p>
    <w:p>
      <w:pPr>
        <w:numPr>
          <w:ilvl w:val="0"/>
          <w:numId w:val="2"/>
        </w:numPr>
        <w:spacing w:line="580" w:lineRule="exact"/>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 w:eastAsia="仿宋_GB2312" w:cs="仿宋_GB2312"/>
          <w:sz w:val="32"/>
          <w:szCs w:val="32"/>
        </w:rPr>
        <w:t>改进建议。</w:t>
      </w:r>
      <w:r>
        <w:rPr>
          <w:rFonts w:hint="eastAsia" w:ascii="仿宋_GB2312" w:hAnsi="仿宋_GB2312" w:eastAsia="仿宋_GB2312" w:cs="仿宋_GB2312"/>
          <w:kern w:val="0"/>
          <w:sz w:val="32"/>
          <w:szCs w:val="32"/>
          <w:lang w:val="en-US" w:eastAsia="zh-CN" w:bidi="ar-SA"/>
        </w:rPr>
        <w:t>我们将进一步重视预算的编制工作，提高预算编制的精确度，提高财政资金使用效率，尽量减少预算执行调整、结转和结余注销的情形。</w:t>
      </w:r>
    </w:p>
    <w:p>
      <w:pPr>
        <w:widowControl w:val="0"/>
        <w:numPr>
          <w:ilvl w:val="0"/>
          <w:numId w:val="0"/>
        </w:numPr>
        <w:spacing w:line="580" w:lineRule="exact"/>
        <w:jc w:val="both"/>
        <w:rPr>
          <w:rFonts w:hint="eastAsia" w:ascii="仿宋_GB2312" w:hAnsi="仿宋_GB2312" w:eastAsia="仿宋_GB2312" w:cs="仿宋_GB2312"/>
          <w:kern w:val="0"/>
          <w:sz w:val="32"/>
          <w:szCs w:val="32"/>
          <w:lang w:val="en-US" w:eastAsia="zh-CN" w:bidi="ar-SA"/>
        </w:rPr>
      </w:pPr>
    </w:p>
    <w:p>
      <w:pPr>
        <w:widowControl w:val="0"/>
        <w:numPr>
          <w:ilvl w:val="0"/>
          <w:numId w:val="0"/>
        </w:numPr>
        <w:spacing w:line="580" w:lineRule="exact"/>
        <w:jc w:val="both"/>
        <w:rPr>
          <w:rFonts w:hint="eastAsia" w:ascii="仿宋_GB2312" w:hAnsi="仿宋_GB2312" w:eastAsia="仿宋_GB2312" w:cs="仿宋_GB2312"/>
          <w:kern w:val="0"/>
          <w:sz w:val="32"/>
          <w:szCs w:val="32"/>
          <w:lang w:val="en-US" w:eastAsia="zh-CN" w:bidi="ar-SA"/>
        </w:rPr>
      </w:pPr>
      <w:bookmarkStart w:id="1" w:name="_GoBack"/>
      <w:bookmarkEnd w:id="1"/>
    </w:p>
    <w:p>
      <w:pPr>
        <w:widowControl/>
        <w:ind w:firstLine="4800" w:firstLineChars="15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黑水县城市管理局</w:t>
      </w:r>
    </w:p>
    <w:p>
      <w:pPr>
        <w:widowControl/>
        <w:ind w:firstLine="4800" w:firstLineChars="15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2022年8月15日</w:t>
      </w:r>
    </w:p>
    <w:p>
      <w:pPr>
        <w:widowControl w:val="0"/>
        <w:numPr>
          <w:ilvl w:val="0"/>
          <w:numId w:val="0"/>
        </w:numPr>
        <w:spacing w:line="580" w:lineRule="exact"/>
        <w:jc w:val="both"/>
        <w:rPr>
          <w:rFonts w:hint="eastAsia" w:ascii="仿宋_GB2312" w:hAnsi="仿宋_GB2312" w:eastAsia="仿宋_GB2312" w:cs="仿宋_GB2312"/>
          <w:kern w:val="0"/>
          <w:sz w:val="32"/>
          <w:szCs w:val="32"/>
          <w:lang w:val="en-US" w:eastAsia="zh-CN" w:bidi="ar-SA"/>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87FDE"/>
    <w:multiLevelType w:val="singleLevel"/>
    <w:tmpl w:val="84B87FDE"/>
    <w:lvl w:ilvl="0" w:tentative="0">
      <w:start w:val="2"/>
      <w:numFmt w:val="chineseCounting"/>
      <w:suff w:val="nothing"/>
      <w:lvlText w:val="（%1）"/>
      <w:lvlJc w:val="left"/>
      <w:rPr>
        <w:rFonts w:hint="eastAsia"/>
      </w:rPr>
    </w:lvl>
  </w:abstractNum>
  <w:abstractNum w:abstractNumId="1">
    <w:nsid w:val="D5974890"/>
    <w:multiLevelType w:val="singleLevel"/>
    <w:tmpl w:val="D597489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2"/>
    <w:rsid w:val="00291808"/>
    <w:rsid w:val="00491B22"/>
    <w:rsid w:val="0052390C"/>
    <w:rsid w:val="01E81DCF"/>
    <w:rsid w:val="03465822"/>
    <w:rsid w:val="0EEA52E7"/>
    <w:rsid w:val="1A0E5BAF"/>
    <w:rsid w:val="21826ABC"/>
    <w:rsid w:val="26761A0C"/>
    <w:rsid w:val="2D053D05"/>
    <w:rsid w:val="2EFE28C8"/>
    <w:rsid w:val="36435EC2"/>
    <w:rsid w:val="408064F5"/>
    <w:rsid w:val="40A0295A"/>
    <w:rsid w:val="42125003"/>
    <w:rsid w:val="486C7ACE"/>
    <w:rsid w:val="48C220E1"/>
    <w:rsid w:val="54B174DD"/>
    <w:rsid w:val="5AA17427"/>
    <w:rsid w:val="5D786B06"/>
    <w:rsid w:val="62D847D5"/>
    <w:rsid w:val="668A6CC1"/>
    <w:rsid w:val="6A5E2088"/>
    <w:rsid w:val="6A6810B0"/>
    <w:rsid w:val="6B117DDB"/>
    <w:rsid w:val="6F6603F7"/>
    <w:rsid w:val="713470D3"/>
    <w:rsid w:val="738F6161"/>
    <w:rsid w:val="739C17BF"/>
    <w:rsid w:val="747A095C"/>
    <w:rsid w:val="782C342E"/>
    <w:rsid w:val="788A50E4"/>
    <w:rsid w:val="7C7B5E17"/>
    <w:rsid w:val="7CB62F12"/>
    <w:rsid w:val="7EBF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2105</Words>
  <Characters>2276</Characters>
  <Lines>2</Lines>
  <Paragraphs>1</Paragraphs>
  <TotalTime>3</TotalTime>
  <ScaleCrop>false</ScaleCrop>
  <LinksUpToDate>false</LinksUpToDate>
  <CharactersWithSpaces>2284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CQJ</cp:lastModifiedBy>
  <dcterms:modified xsi:type="dcterms:W3CDTF">2022-08-15T07:54:50Z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85F2ED127B8C48BBA6D043D25BF4235A</vt:lpwstr>
  </property>
</Properties>
</file>