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eastAsia="仿宋" w:cs="仿宋" w:asciiTheme="majorAscii" w:hAnsiTheme="majorAscii"/>
          <w:sz w:val="44"/>
          <w:szCs w:val="44"/>
          <w:lang w:val="en-US" w:eastAsia="zh-CN"/>
        </w:rPr>
      </w:pPr>
      <w:r>
        <w:rPr>
          <w:rFonts w:hint="default" w:eastAsia="仿宋" w:cs="仿宋" w:asciiTheme="majorAscii" w:hAnsiTheme="majorAscii"/>
          <w:sz w:val="44"/>
          <w:szCs w:val="44"/>
          <w:lang w:val="en-US" w:eastAsia="zh-CN"/>
        </w:rPr>
        <w:t>黑水县城市管理局</w:t>
      </w:r>
    </w:p>
    <w:p>
      <w:pPr>
        <w:pStyle w:val="2"/>
        <w:jc w:val="center"/>
        <w:rPr>
          <w:rFonts w:hint="default" w:eastAsia="仿宋" w:cs="仿宋" w:asciiTheme="majorAscii" w:hAnsiTheme="majorAscii"/>
          <w:sz w:val="44"/>
          <w:szCs w:val="44"/>
          <w:lang w:val="en-US" w:eastAsia="zh-CN"/>
        </w:rPr>
      </w:pPr>
      <w:r>
        <w:rPr>
          <w:rFonts w:hint="default" w:eastAsia="仿宋" w:cs="仿宋" w:asciiTheme="majorAscii" w:hAnsiTheme="majorAscii"/>
          <w:sz w:val="44"/>
          <w:szCs w:val="44"/>
        </w:rPr>
        <w:t>202</w:t>
      </w:r>
      <w:r>
        <w:rPr>
          <w:rFonts w:hint="default" w:eastAsia="仿宋" w:cs="仿宋" w:asciiTheme="majorAscii" w:hAnsiTheme="majorAscii"/>
          <w:sz w:val="44"/>
          <w:szCs w:val="44"/>
          <w:lang w:val="en-US" w:eastAsia="zh-CN"/>
        </w:rPr>
        <w:t>2</w:t>
      </w:r>
      <w:r>
        <w:rPr>
          <w:rFonts w:hint="default" w:eastAsia="仿宋" w:cs="仿宋" w:asciiTheme="majorAscii" w:hAnsiTheme="majorAscii"/>
          <w:sz w:val="44"/>
          <w:szCs w:val="44"/>
        </w:rPr>
        <w:t xml:space="preserve"> 年部门整体支出绩效评价</w:t>
      </w:r>
      <w:r>
        <w:rPr>
          <w:rFonts w:hint="default" w:eastAsia="仿宋" w:cs="仿宋" w:asciiTheme="majorAscii" w:hAnsiTheme="majorAscii"/>
          <w:sz w:val="44"/>
          <w:szCs w:val="44"/>
          <w:lang w:val="en-US" w:eastAsia="zh-CN"/>
        </w:rPr>
        <w:t>报告</w:t>
      </w:r>
      <w:r>
        <w:rPr>
          <w:rFonts w:hint="eastAsia" w:eastAsia="仿宋" w:cs="仿宋" w:asciiTheme="majorAscii" w:hAnsiTheme="majorAscii"/>
          <w:sz w:val="44"/>
          <w:szCs w:val="44"/>
          <w:lang w:val="en-US" w:eastAsia="zh-CN"/>
        </w:rPr>
        <w:t>（事业）</w:t>
      </w:r>
    </w:p>
    <w:p>
      <w:pPr>
        <w:rPr>
          <w:rFonts w:hint="eastAsia" w:ascii="仿宋" w:hAnsi="仿宋" w:eastAsia="仿宋" w:cs="仿宋"/>
          <w:b/>
          <w:bCs/>
          <w:sz w:val="32"/>
          <w:szCs w:val="32"/>
        </w:rPr>
      </w:pPr>
      <w:r>
        <w:rPr>
          <w:rFonts w:hint="eastAsia" w:ascii="仿宋" w:hAnsi="仿宋" w:eastAsia="仿宋" w:cs="仿宋"/>
          <w:b/>
          <w:bCs/>
          <w:sz w:val="32"/>
          <w:szCs w:val="32"/>
        </w:rPr>
        <w:t>一、部门《单位)概况</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(一)机构组成。</w:t>
      </w:r>
    </w:p>
    <w:p>
      <w:pPr>
        <w:numPr>
          <w:ilvl w:val="0"/>
          <w:numId w:val="0"/>
        </w:numPr>
        <w:snapToGrid w:val="0"/>
        <w:spacing w:line="360" w:lineRule="auto"/>
        <w:ind w:firstLine="640" w:firstLineChars="200"/>
        <w:jc w:val="left"/>
        <w:rPr>
          <w:rFonts w:hint="eastAsia" w:ascii="仿宋" w:hAnsi="仿宋" w:eastAsia="仿宋" w:cs="仿宋"/>
          <w:kern w:val="0"/>
          <w:sz w:val="32"/>
          <w:szCs w:val="32"/>
          <w:shd w:val="clear" w:color="auto" w:fill="FFFEFB"/>
          <w:lang w:val="en-US" w:eastAsia="zh-CN" w:bidi="ar"/>
        </w:rPr>
      </w:pPr>
      <w:r>
        <w:rPr>
          <w:rFonts w:hint="eastAsia" w:ascii="仿宋" w:hAnsi="仿宋" w:eastAsia="仿宋" w:cs="仿宋"/>
          <w:kern w:val="0"/>
          <w:sz w:val="32"/>
          <w:szCs w:val="32"/>
          <w:shd w:val="clear" w:color="auto" w:fill="FFFEFB"/>
          <w:lang w:val="en-US" w:eastAsia="zh-CN" w:bidi="ar"/>
        </w:rPr>
        <w:t>城市管理局于2009年，内设办公室、城市监察股、环境卫生管理股、市政园林管理股4个职能股室，下辖城管监察大队、垃圾清管所2个直属事业机构。</w:t>
      </w:r>
    </w:p>
    <w:p>
      <w:pPr>
        <w:ind w:firstLine="320" w:firstLineChars="100"/>
        <w:rPr>
          <w:rFonts w:hint="eastAsia" w:ascii="仿宋" w:hAnsi="仿宋" w:eastAsia="仿宋" w:cs="仿宋"/>
          <w:sz w:val="32"/>
          <w:szCs w:val="32"/>
          <w:lang w:val="zh-CN"/>
        </w:rPr>
      </w:pPr>
      <w:r>
        <w:rPr>
          <w:rFonts w:hint="eastAsia" w:ascii="仿宋" w:hAnsi="仿宋" w:eastAsia="仿宋" w:cs="仿宋"/>
          <w:sz w:val="32"/>
          <w:szCs w:val="32"/>
          <w:lang w:val="zh-CN"/>
        </w:rPr>
        <w:t>（二）机构职能。</w:t>
      </w:r>
    </w:p>
    <w:p>
      <w:pPr>
        <w:numPr>
          <w:ilvl w:val="0"/>
          <w:numId w:val="0"/>
        </w:numPr>
        <w:snapToGrid w:val="0"/>
        <w:spacing w:line="360" w:lineRule="auto"/>
        <w:ind w:firstLine="640" w:firstLineChars="200"/>
        <w:jc w:val="left"/>
        <w:rPr>
          <w:rFonts w:hint="eastAsia" w:ascii="仿宋" w:hAnsi="仿宋" w:eastAsia="仿宋" w:cs="仿宋"/>
          <w:kern w:val="0"/>
          <w:sz w:val="32"/>
          <w:szCs w:val="32"/>
          <w:shd w:val="clear" w:color="auto" w:fill="FFFEFB"/>
          <w:lang w:val="en-US" w:eastAsia="zh-CN" w:bidi="ar"/>
        </w:rPr>
      </w:pPr>
      <w:r>
        <w:rPr>
          <w:rFonts w:hint="eastAsia" w:ascii="仿宋" w:hAnsi="仿宋" w:eastAsia="仿宋" w:cs="仿宋"/>
          <w:kern w:val="0"/>
          <w:sz w:val="32"/>
          <w:szCs w:val="32"/>
          <w:shd w:val="clear" w:color="auto" w:fill="FFFEFB"/>
          <w:lang w:val="en-US" w:eastAsia="zh-CN" w:bidi="ar"/>
        </w:rPr>
        <w:t>城市管理局主要负责城区范围内的环境卫生管理工作督促检查、落实对城区街道、广场、公共场所等环境的清扫保洁，对城区生活垃圾等废弃物的收集、清运、对城区环境卫生设施的保洁等，对城区范围内的道路、桥梁、广场、路灯等市政设施实行统一维护和管理。对城区范围内的花草、树木等园林绿化实行统一维护和管理。</w:t>
      </w:r>
    </w:p>
    <w:p>
      <w:pPr>
        <w:numPr>
          <w:ilvl w:val="0"/>
          <w:numId w:val="1"/>
        </w:numPr>
        <w:ind w:left="320" w:leftChars="0" w:firstLine="0" w:firstLineChars="0"/>
        <w:rPr>
          <w:rFonts w:hint="eastAsia" w:ascii="仿宋" w:hAnsi="仿宋" w:eastAsia="仿宋" w:cs="仿宋"/>
          <w:sz w:val="32"/>
          <w:szCs w:val="32"/>
        </w:rPr>
      </w:pPr>
      <w:r>
        <w:rPr>
          <w:rFonts w:hint="eastAsia" w:ascii="仿宋" w:hAnsi="仿宋" w:eastAsia="仿宋" w:cs="仿宋"/>
          <w:sz w:val="32"/>
          <w:szCs w:val="32"/>
        </w:rPr>
        <w:t>人员概况。</w:t>
      </w:r>
    </w:p>
    <w:p>
      <w:pPr>
        <w:pStyle w:val="3"/>
        <w:keepNext w:val="0"/>
        <w:keepLines w:val="0"/>
        <w:pageBreakBefore w:val="0"/>
        <w:widowControl/>
        <w:kinsoku/>
        <w:wordWrap/>
        <w:overflowPunct/>
        <w:topLinePunct w:val="0"/>
        <w:autoSpaceDE/>
        <w:autoSpaceDN/>
        <w:bidi w:val="0"/>
        <w:adjustRightInd/>
        <w:snapToGrid/>
        <w:spacing w:before="60" w:beforeAutospacing="0" w:after="0" w:afterAutospacing="0" w:line="360" w:lineRule="auto"/>
        <w:ind w:firstLine="640" w:firstLineChars="200"/>
        <w:textAlignment w:val="auto"/>
        <w:rPr>
          <w:rFonts w:hint="eastAsia" w:ascii="仿宋" w:hAnsi="仿宋" w:eastAsia="仿宋" w:cs="仿宋"/>
          <w:kern w:val="0"/>
          <w:sz w:val="32"/>
          <w:szCs w:val="32"/>
          <w:shd w:val="clear" w:color="auto" w:fill="FFFEFB"/>
          <w:lang w:val="en-US" w:eastAsia="zh-CN" w:bidi="ar"/>
        </w:rPr>
      </w:pPr>
      <w:r>
        <w:rPr>
          <w:rFonts w:hint="eastAsia" w:ascii="仿宋" w:hAnsi="仿宋" w:eastAsia="仿宋" w:cs="仿宋"/>
          <w:kern w:val="0"/>
          <w:sz w:val="32"/>
          <w:szCs w:val="32"/>
          <w:shd w:val="clear" w:color="auto" w:fill="FFFEFB"/>
          <w:lang w:val="en-US" w:eastAsia="zh-CN" w:bidi="ar"/>
        </w:rPr>
        <w:t>总编制17名,其中:其他事业编制 17名。在职人员总数16名，其中：其他事业人员 16名：编外长期聘用的人员 114 名。</w:t>
      </w:r>
    </w:p>
    <w:p>
      <w:pPr>
        <w:rPr>
          <w:rFonts w:hint="eastAsia" w:ascii="仿宋" w:hAnsi="仿宋" w:eastAsia="仿宋" w:cs="仿宋"/>
          <w:b/>
          <w:bCs/>
          <w:sz w:val="32"/>
          <w:szCs w:val="32"/>
        </w:rPr>
      </w:pPr>
      <w:r>
        <w:rPr>
          <w:rFonts w:hint="eastAsia" w:ascii="仿宋" w:hAnsi="仿宋" w:eastAsia="仿宋" w:cs="仿宋"/>
          <w:b/>
          <w:bCs/>
          <w:sz w:val="32"/>
          <w:szCs w:val="32"/>
        </w:rPr>
        <w:t>二、部门财政资金收支情况</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rPr>
        <w:t>(一)部门财政资金收入情况</w:t>
      </w:r>
      <w:r>
        <w:rPr>
          <w:rFonts w:hint="eastAsia" w:ascii="仿宋" w:hAnsi="仿宋" w:eastAsia="仿宋" w:cs="仿宋"/>
          <w:sz w:val="32"/>
          <w:szCs w:val="32"/>
          <w:lang w:eastAsia="zh-CN"/>
        </w:rPr>
        <w:t>。</w:t>
      </w:r>
    </w:p>
    <w:p>
      <w:pPr>
        <w:pStyle w:val="3"/>
        <w:keepNext w:val="0"/>
        <w:keepLines w:val="0"/>
        <w:pageBreakBefore w:val="0"/>
        <w:widowControl/>
        <w:kinsoku/>
        <w:wordWrap/>
        <w:overflowPunct/>
        <w:topLinePunct w:val="0"/>
        <w:autoSpaceDE/>
        <w:autoSpaceDN/>
        <w:bidi w:val="0"/>
        <w:adjustRightInd/>
        <w:snapToGrid/>
        <w:spacing w:before="180" w:beforeAutospacing="0" w:after="0" w:afterAutospacing="0" w:line="360" w:lineRule="auto"/>
        <w:ind w:firstLine="640" w:firstLineChars="200"/>
        <w:textAlignment w:val="auto"/>
        <w:rPr>
          <w:rFonts w:hint="eastAsia" w:ascii="仿宋" w:hAnsi="仿宋" w:eastAsia="仿宋" w:cs="仿宋"/>
          <w:kern w:val="0"/>
          <w:sz w:val="32"/>
          <w:szCs w:val="32"/>
          <w:shd w:val="clear" w:color="auto" w:fill="FFFEFB"/>
          <w:lang w:val="en-US" w:eastAsia="zh-CN" w:bidi="ar"/>
        </w:rPr>
      </w:pPr>
      <w:r>
        <w:rPr>
          <w:rFonts w:hint="eastAsia" w:ascii="仿宋" w:hAnsi="仿宋" w:eastAsia="仿宋" w:cs="仿宋"/>
          <w:kern w:val="0"/>
          <w:sz w:val="32"/>
          <w:szCs w:val="32"/>
          <w:shd w:val="clear" w:color="auto" w:fill="FFFEFB"/>
          <w:lang w:val="en-US" w:eastAsia="zh-CN" w:bidi="ar"/>
        </w:rPr>
        <w:t>按照综合预算的原则，城市管理局所有收入纳入部门预算管理。收入包括：一般公共预算拨款收入</w:t>
      </w:r>
      <w:r>
        <w:rPr>
          <w:rFonts w:hint="eastAsia" w:ascii="仿宋_GB2312" w:hAnsi="仿宋_GB2312" w:eastAsia="仿宋_GB2312" w:cs="仿宋_GB2312"/>
          <w:color w:val="000000"/>
          <w:sz w:val="32"/>
          <w:szCs w:val="32"/>
          <w:lang w:val="en-US" w:eastAsia="zh-CN"/>
        </w:rPr>
        <w:t>1328.74</w:t>
      </w:r>
      <w:r>
        <w:rPr>
          <w:rFonts w:hint="eastAsia" w:ascii="仿宋" w:hAnsi="仿宋" w:eastAsia="仿宋" w:cs="仿宋"/>
          <w:kern w:val="0"/>
          <w:sz w:val="32"/>
          <w:szCs w:val="32"/>
          <w:shd w:val="clear" w:color="auto" w:fill="FFFEFB"/>
          <w:lang w:val="en-US" w:eastAsia="zh-CN" w:bidi="ar"/>
        </w:rPr>
        <w:t>万元，事业收入0万元，其他收入0万元，上年结转0万元。</w:t>
      </w:r>
    </w:p>
    <w:p>
      <w:pPr>
        <w:numPr>
          <w:ilvl w:val="0"/>
          <w:numId w:val="2"/>
        </w:numPr>
        <w:ind w:firstLine="320" w:firstLineChars="100"/>
        <w:rPr>
          <w:rFonts w:hint="eastAsia" w:ascii="仿宋" w:hAnsi="仿宋" w:eastAsia="仿宋" w:cs="仿宋"/>
          <w:sz w:val="32"/>
          <w:szCs w:val="32"/>
        </w:rPr>
      </w:pPr>
      <w:r>
        <w:rPr>
          <w:rFonts w:hint="eastAsia" w:ascii="仿宋" w:hAnsi="仿宋" w:eastAsia="仿宋" w:cs="仿宋"/>
          <w:sz w:val="32"/>
          <w:szCs w:val="32"/>
        </w:rPr>
        <w:t>部门财政资金支出情况。</w:t>
      </w:r>
    </w:p>
    <w:p>
      <w:pPr>
        <w:pStyle w:val="3"/>
        <w:keepNext w:val="0"/>
        <w:keepLines w:val="0"/>
        <w:pageBreakBefore w:val="0"/>
        <w:widowControl/>
        <w:kinsoku/>
        <w:wordWrap/>
        <w:overflowPunct/>
        <w:topLinePunct w:val="0"/>
        <w:autoSpaceDE/>
        <w:autoSpaceDN/>
        <w:bidi w:val="0"/>
        <w:adjustRightInd/>
        <w:snapToGrid/>
        <w:spacing w:before="60" w:beforeAutospacing="0" w:after="0" w:afterAutospacing="0" w:line="360" w:lineRule="auto"/>
        <w:ind w:firstLine="640" w:firstLineChars="200"/>
        <w:textAlignment w:val="auto"/>
        <w:rPr>
          <w:rFonts w:hint="eastAsia" w:ascii="仿宋" w:hAnsi="仿宋" w:eastAsia="仿宋" w:cs="仿宋"/>
          <w:kern w:val="0"/>
          <w:sz w:val="32"/>
          <w:szCs w:val="32"/>
          <w:shd w:val="clear" w:color="auto" w:fill="FFFEFB"/>
          <w:lang w:val="en-US" w:eastAsia="zh-CN" w:bidi="ar"/>
        </w:rPr>
      </w:pPr>
      <w:r>
        <w:rPr>
          <w:rFonts w:hint="eastAsia" w:ascii="仿宋" w:hAnsi="仿宋" w:eastAsia="仿宋" w:cs="仿宋"/>
          <w:kern w:val="0"/>
          <w:sz w:val="32"/>
          <w:szCs w:val="32"/>
          <w:shd w:val="clear" w:color="auto" w:fill="FFFEFB"/>
          <w:lang w:val="en-US" w:eastAsia="zh-CN" w:bidi="ar"/>
        </w:rPr>
        <w:t>按照综合预算的原则，城市管理局所有支出纳入部门预算管理。支出1380.38万元，其中包括：社会保障和就业支出为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35.33</w:t>
      </w:r>
      <w:r>
        <w:rPr>
          <w:rFonts w:hint="eastAsia" w:ascii="仿宋" w:hAnsi="仿宋" w:eastAsia="仿宋" w:cs="仿宋"/>
          <w:kern w:val="0"/>
          <w:sz w:val="32"/>
          <w:szCs w:val="32"/>
          <w:shd w:val="clear" w:color="auto" w:fill="FFFEFB"/>
          <w:lang w:val="en-US" w:eastAsia="zh-CN" w:bidi="ar"/>
        </w:rPr>
        <w:t>万元，占比2.55%；卫生健康支出为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14.18</w:t>
      </w:r>
      <w:r>
        <w:rPr>
          <w:rFonts w:hint="eastAsia" w:ascii="仿宋" w:hAnsi="仿宋" w:eastAsia="仿宋" w:cs="仿宋"/>
          <w:kern w:val="0"/>
          <w:sz w:val="32"/>
          <w:szCs w:val="32"/>
          <w:shd w:val="clear" w:color="auto" w:fill="FFFEFB"/>
          <w:lang w:val="en-US" w:eastAsia="zh-CN" w:bidi="ar"/>
        </w:rPr>
        <w:t>万元，占比1.03%；节能环保支出为548.1万元，占比39.70%；城乡社区支出为762.2万元，占比55.22%；住房保障支出为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20.57</w:t>
      </w:r>
      <w:r>
        <w:rPr>
          <w:rFonts w:hint="eastAsia" w:ascii="仿宋" w:hAnsi="仿宋" w:eastAsia="仿宋" w:cs="仿宋"/>
          <w:kern w:val="0"/>
          <w:sz w:val="32"/>
          <w:szCs w:val="32"/>
          <w:shd w:val="clear" w:color="auto" w:fill="FFFEFB"/>
          <w:lang w:val="en-US" w:eastAsia="zh-CN" w:bidi="ar"/>
        </w:rPr>
        <w:t>万元，占比1.5%。</w:t>
      </w:r>
    </w:p>
    <w:p>
      <w:pPr>
        <w:numPr>
          <w:ilvl w:val="0"/>
          <w:numId w:val="3"/>
        </w:numPr>
        <w:rPr>
          <w:rFonts w:hint="eastAsia" w:ascii="仿宋" w:hAnsi="仿宋" w:eastAsia="仿宋" w:cs="仿宋"/>
          <w:b/>
          <w:bCs/>
          <w:sz w:val="32"/>
          <w:szCs w:val="32"/>
        </w:rPr>
      </w:pPr>
      <w:r>
        <w:rPr>
          <w:rFonts w:hint="eastAsia" w:ascii="仿宋" w:hAnsi="仿宋" w:eastAsia="仿宋" w:cs="仿宋"/>
          <w:b/>
          <w:bCs/>
          <w:sz w:val="32"/>
          <w:szCs w:val="32"/>
        </w:rPr>
        <w:t>部门整体预算绩效管理情况</w:t>
      </w:r>
    </w:p>
    <w:p>
      <w:pPr>
        <w:numPr>
          <w:ilvl w:val="0"/>
          <w:numId w:val="0"/>
        </w:numPr>
        <w:ind w:firstLine="320" w:firstLineChars="100"/>
        <w:rPr>
          <w:rFonts w:hint="eastAsia" w:ascii="仿宋" w:hAnsi="仿宋" w:eastAsia="仿宋" w:cs="仿宋"/>
          <w:sz w:val="32"/>
          <w:szCs w:val="32"/>
        </w:rPr>
      </w:pPr>
      <w:r>
        <w:rPr>
          <w:rFonts w:hint="eastAsia" w:ascii="仿宋" w:hAnsi="仿宋" w:eastAsia="仿宋" w:cs="仿宋"/>
          <w:sz w:val="32"/>
          <w:szCs w:val="32"/>
        </w:rPr>
        <w:t>(一) 部门预算管理。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shd w:val="clear" w:color="auto" w:fill="FFFEFB"/>
          <w:lang w:val="zh-CN" w:eastAsia="zh-CN" w:bidi="ar"/>
        </w:rPr>
        <w:t>严格按照县级部门预算编制通知和有关要求，按时完成基础库、项目库报送工作，按时完成2022年预算编制工作，并按时提交部门预算草案。按规定编制政府采购预算，预算编制全面、科学。</w:t>
      </w:r>
      <w:r>
        <w:rPr>
          <w:rFonts w:hint="eastAsia" w:ascii="仿宋" w:hAnsi="仿宋" w:eastAsia="仿宋" w:cs="仿宋"/>
          <w:kern w:val="0"/>
          <w:sz w:val="32"/>
          <w:szCs w:val="32"/>
          <w:lang w:val="en-US" w:eastAsia="zh-CN"/>
        </w:rPr>
        <w:t>预算编制中，特别注意对预算编制准确性的把握，并严格按照要求进行预算执行调整。按时完成待批复提前细化。部门预算在财政部门批复后及时填报预算公示报表报财政审核在政府信息公开网上公示。</w:t>
      </w:r>
    </w:p>
    <w:p>
      <w:pPr>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（二）专项预算管理。</w:t>
      </w:r>
    </w:p>
    <w:p>
      <w:pPr>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kern w:val="0"/>
          <w:sz w:val="32"/>
          <w:szCs w:val="32"/>
          <w:lang w:val="en-US" w:eastAsia="zh-CN"/>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 结果应用情况。</w:t>
      </w:r>
    </w:p>
    <w:p>
      <w:pPr>
        <w:numPr>
          <w:ilvl w:val="0"/>
          <w:numId w:val="0"/>
        </w:numPr>
        <w:spacing w:line="560" w:lineRule="exact"/>
        <w:ind w:firstLine="640" w:firstLineChars="200"/>
        <w:rPr>
          <w:rFonts w:hint="eastAsia" w:ascii="仿宋" w:hAnsi="仿宋" w:eastAsia="仿宋" w:cs="仿宋"/>
          <w:kern w:val="0"/>
          <w:sz w:val="32"/>
          <w:szCs w:val="32"/>
          <w:shd w:val="clear" w:color="auto" w:fill="FFFEFB"/>
          <w:lang w:val="zh-CN" w:eastAsia="zh-CN" w:bidi="ar"/>
        </w:rPr>
      </w:pPr>
      <w:r>
        <w:rPr>
          <w:rFonts w:hint="eastAsia" w:ascii="仿宋" w:hAnsi="仿宋" w:eastAsia="仿宋" w:cs="仿宋"/>
          <w:kern w:val="0"/>
          <w:sz w:val="32"/>
          <w:szCs w:val="32"/>
          <w:shd w:val="clear" w:color="auto" w:fill="FFFEFB"/>
          <w:lang w:val="zh-CN" w:eastAsia="zh-CN" w:bidi="ar"/>
        </w:rPr>
        <w:t>我</w:t>
      </w:r>
      <w:r>
        <w:rPr>
          <w:rFonts w:hint="eastAsia" w:ascii="仿宋" w:hAnsi="仿宋" w:eastAsia="仿宋" w:cs="仿宋"/>
          <w:kern w:val="0"/>
          <w:sz w:val="32"/>
          <w:szCs w:val="32"/>
          <w:shd w:val="clear" w:color="auto" w:fill="FFFEFB"/>
          <w:lang w:val="en-US" w:eastAsia="zh-CN" w:bidi="ar"/>
        </w:rPr>
        <w:t>局</w:t>
      </w:r>
      <w:r>
        <w:rPr>
          <w:rFonts w:hint="eastAsia" w:ascii="仿宋" w:hAnsi="仿宋" w:eastAsia="仿宋" w:cs="仿宋"/>
          <w:kern w:val="0"/>
          <w:sz w:val="32"/>
          <w:szCs w:val="32"/>
          <w:shd w:val="clear" w:color="auto" w:fill="FFFEFB"/>
          <w:lang w:val="zh-CN" w:eastAsia="zh-CN" w:bidi="ar"/>
        </w:rPr>
        <w:t>严格按照县财政局</w:t>
      </w:r>
      <w:bookmarkStart w:id="0" w:name="_GoBack"/>
      <w:bookmarkEnd w:id="0"/>
      <w:r>
        <w:rPr>
          <w:rFonts w:hint="eastAsia" w:ascii="仿宋" w:hAnsi="仿宋" w:eastAsia="仿宋" w:cs="仿宋"/>
          <w:kern w:val="0"/>
          <w:sz w:val="32"/>
          <w:szCs w:val="32"/>
          <w:shd w:val="clear" w:color="auto" w:fill="FFFEFB"/>
          <w:lang w:val="zh-CN" w:eastAsia="zh-CN" w:bidi="ar"/>
        </w:rPr>
        <w:t>通知要求公开预算、决算、部门整体绩效；严格按照县财政局要求对部门整体全面进行绩效评价，并及时上报财政；严格按照县财政局文件要求及时进行自查，并上报材料，未发现违纪违规问题。根据部门职能职责，认真完成县委县政府安排的各项专项工作任务及其他年度重点工作任务。</w:t>
      </w:r>
    </w:p>
    <w:p>
      <w:pPr>
        <w:pStyle w:val="3"/>
        <w:shd w:val="clear" w:color="auto" w:fill="FFFFFF"/>
        <w:spacing w:before="0" w:beforeAutospacing="0" w:after="0" w:afterAutospacing="0" w:line="560" w:lineRule="exact"/>
        <w:ind w:firstLine="320" w:firstLineChars="1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本年本单位在执行公务过程中严格执行“厉行节约、反对浪费”的规定，严格控制“三公”经费支出，加强公务用车管理，努力降低维修费用。</w:t>
      </w:r>
    </w:p>
    <w:p>
      <w:pPr>
        <w:pStyle w:val="3"/>
        <w:shd w:val="clear" w:color="auto" w:fill="FFFFFF"/>
        <w:spacing w:before="0" w:beforeAutospacing="0" w:after="0" w:afterAutospacing="0" w:line="56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部门预算决算在财政部门批复后及时填报预算公开资料、决算公开资料报表报财政审核后在政府信息公开网上公示。</w:t>
      </w:r>
    </w:p>
    <w:p>
      <w:pPr>
        <w:numPr>
          <w:ilvl w:val="0"/>
          <w:numId w:val="0"/>
        </w:numPr>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评价结论及建议</w:t>
      </w:r>
    </w:p>
    <w:p>
      <w:pPr>
        <w:numPr>
          <w:ilvl w:val="0"/>
          <w:numId w:val="4"/>
        </w:numPr>
        <w:rPr>
          <w:rFonts w:hint="eastAsia" w:ascii="仿宋" w:hAnsi="仿宋" w:eastAsia="仿宋" w:cs="仿宋"/>
          <w:sz w:val="32"/>
          <w:szCs w:val="32"/>
        </w:rPr>
      </w:pPr>
      <w:r>
        <w:rPr>
          <w:rFonts w:hint="eastAsia" w:ascii="仿宋" w:hAnsi="仿宋" w:eastAsia="仿宋" w:cs="仿宋"/>
          <w:sz w:val="32"/>
          <w:szCs w:val="32"/>
        </w:rPr>
        <w:t>评价结论。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shd w:val="clear" w:color="auto" w:fill="FFFEFB"/>
          <w:lang w:val="en-US" w:eastAsia="zh-CN" w:bidi="ar"/>
        </w:rPr>
      </w:pPr>
      <w:r>
        <w:rPr>
          <w:rFonts w:hint="eastAsia" w:ascii="仿宋" w:hAnsi="仿宋" w:eastAsia="仿宋" w:cs="仿宋"/>
          <w:kern w:val="0"/>
          <w:sz w:val="32"/>
          <w:szCs w:val="32"/>
          <w:shd w:val="clear" w:color="auto" w:fill="FFFEFB"/>
          <w:lang w:val="en-US" w:eastAsia="zh-CN" w:bidi="ar"/>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numPr>
          <w:ilvl w:val="0"/>
          <w:numId w:val="0"/>
        </w:numPr>
        <w:spacing w:line="560" w:lineRule="exact"/>
        <w:ind w:firstLine="640" w:firstLineChars="200"/>
        <w:rPr>
          <w:rFonts w:hint="eastAsia" w:ascii="仿宋" w:hAnsi="仿宋" w:eastAsia="仿宋" w:cs="仿宋"/>
          <w:kern w:val="0"/>
          <w:sz w:val="32"/>
          <w:szCs w:val="32"/>
          <w:shd w:val="clear" w:color="auto" w:fill="FFFEFB"/>
          <w:lang w:val="zh-CN" w:eastAsia="zh-CN" w:bidi="ar"/>
        </w:rPr>
      </w:pPr>
      <w:r>
        <w:rPr>
          <w:rFonts w:hint="eastAsia" w:ascii="仿宋" w:hAnsi="仿宋" w:eastAsia="仿宋" w:cs="仿宋"/>
          <w:kern w:val="0"/>
          <w:sz w:val="32"/>
          <w:szCs w:val="32"/>
          <w:shd w:val="clear" w:color="auto" w:fill="FFFEFB"/>
          <w:lang w:val="en-US" w:eastAsia="zh-CN" w:bidi="ar"/>
        </w:rPr>
        <w:t>预算支出在保障本单位工作运转、履行职能职责上整体情况良好。具体有：2022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w:t>
      </w:r>
      <w:r>
        <w:rPr>
          <w:rFonts w:hint="eastAsia" w:ascii="仿宋" w:hAnsi="仿宋" w:eastAsia="仿宋" w:cs="仿宋"/>
          <w:kern w:val="0"/>
          <w:sz w:val="32"/>
          <w:szCs w:val="32"/>
          <w:shd w:val="clear" w:color="auto" w:fill="FFFEFB"/>
          <w:lang w:val="zh-CN" w:eastAsia="zh-CN" w:bidi="ar"/>
        </w:rPr>
        <w:t> </w:t>
      </w:r>
    </w:p>
    <w:p>
      <w:pPr>
        <w:numPr>
          <w:ilvl w:val="0"/>
          <w:numId w:val="4"/>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存在问题。</w:t>
      </w:r>
    </w:p>
    <w:p>
      <w:pPr>
        <w:numPr>
          <w:ilvl w:val="0"/>
          <w:numId w:val="0"/>
        </w:numPr>
        <w:spacing w:line="560" w:lineRule="exact"/>
        <w:ind w:firstLine="960" w:firstLineChars="300"/>
        <w:rPr>
          <w:rFonts w:hint="eastAsia" w:ascii="仿宋" w:hAnsi="仿宋" w:eastAsia="仿宋" w:cs="仿宋"/>
          <w:kern w:val="0"/>
          <w:sz w:val="32"/>
          <w:szCs w:val="32"/>
          <w:shd w:val="clear" w:color="auto" w:fill="FFFEFB"/>
          <w:lang w:val="en-US" w:eastAsia="zh-CN" w:bidi="ar"/>
        </w:rPr>
      </w:pPr>
      <w:r>
        <w:rPr>
          <w:rFonts w:hint="eastAsia" w:ascii="仿宋" w:hAnsi="仿宋" w:eastAsia="仿宋" w:cs="仿宋"/>
          <w:kern w:val="0"/>
          <w:sz w:val="32"/>
          <w:szCs w:val="32"/>
          <w:shd w:val="clear" w:color="auto" w:fill="FFFEFB"/>
          <w:lang w:val="en-US" w:eastAsia="zh-CN" w:bidi="ar"/>
        </w:rPr>
        <w:t>制度、方法、机制、等创新力度不够。</w:t>
      </w:r>
    </w:p>
    <w:p>
      <w:pPr>
        <w:numPr>
          <w:ilvl w:val="0"/>
          <w:numId w:val="4"/>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改进建议。</w:t>
      </w:r>
    </w:p>
    <w:p>
      <w:pPr>
        <w:numPr>
          <w:ilvl w:val="0"/>
          <w:numId w:val="0"/>
        </w:numPr>
        <w:spacing w:line="560" w:lineRule="exact"/>
        <w:rPr>
          <w:rFonts w:hint="eastAsia" w:ascii="仿宋" w:hAnsi="仿宋" w:eastAsia="仿宋" w:cs="仿宋"/>
          <w:kern w:val="0"/>
          <w:sz w:val="32"/>
          <w:szCs w:val="32"/>
          <w:shd w:val="clear" w:color="auto" w:fill="FFFEFB"/>
          <w:lang w:val="zh-CN" w:eastAsia="zh-CN" w:bidi="ar"/>
        </w:rPr>
      </w:pPr>
      <w:r>
        <w:rPr>
          <w:rFonts w:hint="eastAsia" w:ascii="仿宋" w:hAnsi="仿宋" w:eastAsia="仿宋" w:cs="仿宋"/>
          <w:kern w:val="0"/>
          <w:sz w:val="32"/>
          <w:szCs w:val="32"/>
          <w:shd w:val="clear" w:color="auto" w:fill="FFFEFB"/>
          <w:lang w:val="en-US" w:eastAsia="zh-CN" w:bidi="ar"/>
        </w:rPr>
        <w:t>1.</w:t>
      </w:r>
      <w:r>
        <w:rPr>
          <w:rFonts w:hint="eastAsia" w:ascii="仿宋" w:hAnsi="仿宋" w:eastAsia="仿宋" w:cs="仿宋"/>
          <w:kern w:val="0"/>
          <w:sz w:val="32"/>
          <w:szCs w:val="32"/>
          <w:shd w:val="clear" w:color="auto" w:fill="FFFEFB"/>
          <w:lang w:val="zh-CN" w:eastAsia="zh-CN" w:bidi="ar"/>
        </w:rPr>
        <w:t>加强管</w:t>
      </w:r>
      <w:r>
        <w:rPr>
          <w:rFonts w:hint="eastAsia" w:ascii="仿宋" w:hAnsi="仿宋" w:eastAsia="仿宋" w:cs="仿宋"/>
          <w:kern w:val="0"/>
          <w:sz w:val="32"/>
          <w:szCs w:val="32"/>
          <w:lang w:val="zh-CN" w:eastAsia="zh-CN" w:bidi="ar-SA"/>
        </w:rPr>
        <w:t>理</w:t>
      </w:r>
      <w:r>
        <w:rPr>
          <w:rFonts w:hint="eastAsia" w:ascii="仿宋" w:hAnsi="仿宋" w:eastAsia="仿宋" w:cs="仿宋"/>
          <w:kern w:val="0"/>
          <w:sz w:val="32"/>
          <w:szCs w:val="32"/>
          <w:shd w:val="clear" w:color="auto" w:fill="FFFEFB"/>
          <w:lang w:val="zh-CN" w:eastAsia="zh-CN" w:bidi="ar"/>
        </w:rPr>
        <w:t>，完善制度，提高绩效管理履职效能。</w:t>
      </w:r>
    </w:p>
    <w:p>
      <w:pPr>
        <w:numPr>
          <w:ilvl w:val="0"/>
          <w:numId w:val="0"/>
        </w:numPr>
        <w:spacing w:line="560" w:lineRule="exact"/>
        <w:rPr>
          <w:rFonts w:hint="eastAsia" w:ascii="仿宋" w:hAnsi="仿宋" w:eastAsia="仿宋" w:cs="仿宋"/>
          <w:color w:val="000000"/>
          <w:kern w:val="0"/>
          <w:sz w:val="32"/>
          <w:szCs w:val="32"/>
          <w:lang w:val="zh-CN"/>
        </w:rPr>
      </w:pPr>
      <w:r>
        <w:rPr>
          <w:rFonts w:hint="eastAsia" w:ascii="仿宋" w:hAnsi="仿宋" w:eastAsia="仿宋" w:cs="仿宋"/>
          <w:kern w:val="0"/>
          <w:sz w:val="32"/>
          <w:szCs w:val="32"/>
          <w:shd w:val="clear" w:color="auto" w:fill="FFFEFB"/>
          <w:lang w:val="en-US" w:eastAsia="zh-CN" w:bidi="ar"/>
        </w:rPr>
        <w:t>2.</w:t>
      </w:r>
      <w:r>
        <w:rPr>
          <w:rFonts w:hint="eastAsia" w:ascii="仿宋" w:hAnsi="仿宋" w:eastAsia="仿宋" w:cs="仿宋"/>
          <w:kern w:val="0"/>
          <w:sz w:val="32"/>
          <w:szCs w:val="32"/>
          <w:shd w:val="clear" w:color="auto" w:fill="FFFEFB"/>
          <w:lang w:val="zh-CN" w:eastAsia="zh-CN" w:bidi="ar"/>
        </w:rPr>
        <w:t>改进工作方式，明确预算目标任务，高效、高质量完成工作任务。</w:t>
      </w:r>
      <w:r>
        <w:rPr>
          <w:rFonts w:hint="eastAsia" w:ascii="仿宋" w:hAnsi="仿宋" w:eastAsia="仿宋" w:cs="仿宋"/>
          <w:color w:val="000000"/>
          <w:kern w:val="0"/>
          <w:sz w:val="32"/>
          <w:szCs w:val="32"/>
          <w:lang w:val="zh-CN"/>
        </w:rPr>
        <w:t> </w:t>
      </w:r>
    </w:p>
    <w:p>
      <w:pPr>
        <w:numPr>
          <w:ilvl w:val="0"/>
          <w:numId w:val="0"/>
        </w:numPr>
        <w:spacing w:line="560" w:lineRule="exact"/>
        <w:rPr>
          <w:rFonts w:hint="eastAsia" w:ascii="仿宋_GB2312" w:hAnsi="宋体" w:eastAsia="宋体" w:cs="宋体"/>
          <w:color w:val="000000"/>
          <w:kern w:val="0"/>
          <w:lang w:val="en-US" w:eastAsia="zh-CN"/>
        </w:rPr>
      </w:pPr>
      <w:r>
        <w:rPr>
          <w:rFonts w:hint="eastAsia" w:ascii="仿宋" w:hAnsi="仿宋" w:eastAsia="仿宋" w:cs="仿宋"/>
          <w:color w:val="000000"/>
          <w:kern w:val="0"/>
          <w:sz w:val="32"/>
          <w:szCs w:val="32"/>
          <w:lang w:val="en-US" w:eastAsia="zh-CN"/>
        </w:rPr>
        <w:t>3.</w:t>
      </w:r>
      <w:r>
        <w:rPr>
          <w:rFonts w:hint="eastAsia" w:ascii="仿宋" w:hAnsi="仿宋" w:eastAsia="仿宋" w:cs="仿宋"/>
          <w:kern w:val="0"/>
          <w:sz w:val="32"/>
          <w:szCs w:val="32"/>
          <w:lang w:val="en-US" w:eastAsia="zh-CN" w:bidi="ar-SA"/>
        </w:rPr>
        <w:t>提高预算编制的精确度，提高财政资金使用效率，尽量减少预算执行调整、结转和结余注销的情形。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Cambria">
    <w:altName w:val="Noto Sans Syriac Eastern"/>
    <w:panose1 w:val="02040503050406030204"/>
    <w:charset w:val="00"/>
    <w:family w:val="auto"/>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B4566"/>
    <w:multiLevelType w:val="singleLevel"/>
    <w:tmpl w:val="81EB4566"/>
    <w:lvl w:ilvl="0" w:tentative="0">
      <w:start w:val="3"/>
      <w:numFmt w:val="chineseCounting"/>
      <w:suff w:val="nothing"/>
      <w:lvlText w:val="%1、"/>
      <w:lvlJc w:val="left"/>
      <w:rPr>
        <w:rFonts w:hint="eastAsia"/>
      </w:rPr>
    </w:lvl>
  </w:abstractNum>
  <w:abstractNum w:abstractNumId="1">
    <w:nsid w:val="861E5B95"/>
    <w:multiLevelType w:val="singleLevel"/>
    <w:tmpl w:val="861E5B95"/>
    <w:lvl w:ilvl="0" w:tentative="0">
      <w:start w:val="3"/>
      <w:numFmt w:val="chineseCounting"/>
      <w:lvlText w:val="(%1)"/>
      <w:lvlJc w:val="left"/>
      <w:pPr>
        <w:tabs>
          <w:tab w:val="left" w:pos="312"/>
        </w:tabs>
        <w:ind w:left="320" w:firstLine="0"/>
      </w:pPr>
      <w:rPr>
        <w:rFonts w:hint="eastAsia"/>
      </w:rPr>
    </w:lvl>
  </w:abstractNum>
  <w:abstractNum w:abstractNumId="2">
    <w:nsid w:val="BEC47C01"/>
    <w:multiLevelType w:val="singleLevel"/>
    <w:tmpl w:val="BEC47C01"/>
    <w:lvl w:ilvl="0" w:tentative="0">
      <w:start w:val="2"/>
      <w:numFmt w:val="chineseCounting"/>
      <w:suff w:val="space"/>
      <w:lvlText w:val="(%1)"/>
      <w:lvlJc w:val="left"/>
      <w:rPr>
        <w:rFonts w:hint="eastAsia"/>
      </w:rPr>
    </w:lvl>
  </w:abstractNum>
  <w:abstractNum w:abstractNumId="3">
    <w:nsid w:val="4A6189A0"/>
    <w:multiLevelType w:val="singleLevel"/>
    <w:tmpl w:val="4A6189A0"/>
    <w:lvl w:ilvl="0" w:tentative="0">
      <w:start w:val="1"/>
      <w:numFmt w:val="chineseCounting"/>
      <w:suff w:val="space"/>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ODdhNGM3MTQ4ZmM5MjNhOTNiYTA4NGU2YzA5N2UifQ=="/>
  </w:docVars>
  <w:rsids>
    <w:rsidRoot w:val="00F1448C"/>
    <w:rsid w:val="004D6DE6"/>
    <w:rsid w:val="00D9555C"/>
    <w:rsid w:val="00F1448C"/>
    <w:rsid w:val="029A557B"/>
    <w:rsid w:val="046862DE"/>
    <w:rsid w:val="05762623"/>
    <w:rsid w:val="0B970A88"/>
    <w:rsid w:val="0D687D76"/>
    <w:rsid w:val="164A79E2"/>
    <w:rsid w:val="258630C1"/>
    <w:rsid w:val="27E25126"/>
    <w:rsid w:val="2A7F77F2"/>
    <w:rsid w:val="37F633E3"/>
    <w:rsid w:val="470E624B"/>
    <w:rsid w:val="4AA668FD"/>
    <w:rsid w:val="4EAC74FD"/>
    <w:rsid w:val="585B7C2F"/>
    <w:rsid w:val="5B2320B4"/>
    <w:rsid w:val="62455D6B"/>
    <w:rsid w:val="6A19581E"/>
    <w:rsid w:val="6B323BFA"/>
    <w:rsid w:val="70857F0E"/>
    <w:rsid w:val="72850BBE"/>
    <w:rsid w:val="7919588A"/>
    <w:rsid w:val="7FFF56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Pages>
  <Words>1400</Words>
  <Characters>1476</Characters>
  <Lines>2</Lines>
  <Paragraphs>1</Paragraphs>
  <TotalTime>3</TotalTime>
  <ScaleCrop>false</ScaleCrop>
  <LinksUpToDate>false</LinksUpToDate>
  <CharactersWithSpaces>1490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2023-06-08T09:26:00Z</dcterms:created>
  <dc:creator>Administrator</dc:creator>
  <cp:lastModifiedBy>user</cp:lastModifiedBy>
  <dcterms:modified xsi:type="dcterms:W3CDTF">2023-09-08T10:47:39Z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C66C904078F8432689E768D2855A7DF7_12</vt:lpwstr>
  </property>
</Properties>
</file>