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方正小标宋简体"/>
          <w:b/>
          <w:bCs w:val="0"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bCs w:val="0"/>
          <w:sz w:val="32"/>
          <w:szCs w:val="32"/>
          <w:lang w:val="en-US" w:eastAsia="zh-CN"/>
        </w:rPr>
        <w:t>22</w:t>
      </w:r>
      <w:r>
        <w:rPr>
          <w:rFonts w:hint="eastAsia" w:ascii="仿宋_GB2312" w:hAnsi="黑体" w:eastAsia="仿宋_GB2312" w:cs="方正小标宋简体"/>
          <w:b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垃圾填埋场专项经费及垃圾中转站维修维护费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bCs w:val="0"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bCs w:val="0"/>
          <w:sz w:val="32"/>
          <w:szCs w:val="32"/>
        </w:rPr>
        <w:t>项目支出绩效评价报告</w:t>
      </w:r>
    </w:p>
    <w:p>
      <w:pPr>
        <w:spacing w:line="580" w:lineRule="exact"/>
        <w:ind w:firstLine="643" w:firstLineChars="200"/>
        <w:rPr>
          <w:rFonts w:ascii="仿宋_GB2312" w:hAnsi="仿宋_GB2312" w:eastAsia="仿宋_GB2312" w:cs="仿宋_GB2312"/>
          <w:b/>
          <w:bCs w:val="0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一、评价工作开展及项目情况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黑水县生活垃圾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填埋场专项经费和垃圾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中转站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维修维护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项目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; 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管理一座处理规模50吨/天的生活垃圾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填埋场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；</w:t>
      </w:r>
      <w:bookmarkStart w:id="0" w:name="_Toc12664_WPSOffice_Level2"/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。</w:t>
      </w:r>
      <w:bookmarkEnd w:id="0"/>
      <w:r>
        <w:rPr>
          <w:rFonts w:hint="eastAsia" w:ascii="仿宋" w:hAnsi="仿宋" w:eastAsia="仿宋" w:cs="仿宋"/>
          <w:sz w:val="32"/>
          <w:szCs w:val="32"/>
        </w:rPr>
        <w:t>黑水县垃圾填埋场垃圾处理流程为：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设备油耗、维修维护费用。2、垃圾填埋场消杀灭蝇、鼠、蚊虫药品采购等相关经费。3、垃圾填埋场覆盖用泥土购置费。4、垃圾处理厂基础设施修建及维护费。5、环保整改，标识标牌标准化建设场区集中整治杂草杂物垃圾清理及设备租赁费。6、整个场区春防工作相关经费。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完善了城市基础设施建设，能够保持城市环境, 保护人民身体健康, 把垃圾污染尽可能的降到最低限度,提高了我县垃圾处理中心的工作效率和处置能力，为人民群众创造一个良好的生活工作环境, 从根本上实现生活垃圾的无害化处理, 使生活垃圾达到无害化、减量化、资源化的总目标。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1、项目决策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56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此项目能够产生社会效益、生态效益、提升服务对象满意度，社会效益主要包括减轻城市污染、能够保持城市环境、提高我县垃圾处理中心的工作效率和处置能力。生态效益包括保护下游水资源和周围生态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环境、减轻二次污染。提升服务对象满意度包括保护人民身体健康、为人民群众创造一个良好的生活工作环境。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56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此项目实施期间为2022年1月至2022年12月，垃圾填埋场热解气化站及垃圾中转站维修维护费2022年度已完成。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2、项目管理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该项目各类资金来自县级财政资金，资金按批复金额在项目实施前全部到位，与资金计划相契合，资金到位率、到位及时性均为100%，保障项目能够如期开展。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预算申报项目资金金额为40.1万元，批复金额为40.1万元，实际使用金额40.1万元。项目资金符合资金管理办法等相关规定，根据国家、省、州资金使用规定，加强资金使用监管，做到合理使用资金，专款专用，不得以任何理由挪作他用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申报内容与实际相符，申报目标合理可行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,垃圾填埋场专项经费</w:t>
      </w:r>
      <w:r>
        <w:rPr>
          <w:rFonts w:hint="eastAsia" w:ascii="仿宋" w:hAnsi="仿宋" w:eastAsia="仿宋" w:cs="仿宋"/>
          <w:sz w:val="32"/>
          <w:szCs w:val="32"/>
        </w:rPr>
        <w:t>符合经济社会发展规划。项目申报批复程序严格按照相关管理方法进行，项目资金分配科学进行预算，较为合理和全面。项目资金的及时足额到位确保了项目的正常有序和顺利开展。</w:t>
      </w:r>
    </w:p>
    <w:p>
      <w:pPr>
        <w:spacing w:line="580" w:lineRule="exact"/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3、项目绩效</w:t>
      </w:r>
    </w:p>
    <w:p>
      <w:pPr>
        <w:numPr>
          <w:ilvl w:val="0"/>
          <w:numId w:val="0"/>
        </w:numPr>
        <w:ind w:firstLine="62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" w:eastAsia="zh-CN"/>
        </w:rPr>
        <w:t>实现生活垃圾填埋服务，对城区环境卫生综合整治等工作进行统一部署，确保城市干净整洁，确保我县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城乡</w:t>
      </w:r>
      <w:r>
        <w:rPr>
          <w:rFonts w:hint="eastAsia" w:ascii="仿宋" w:hAnsi="仿宋" w:eastAsia="仿宋" w:cs="仿宋"/>
          <w:sz w:val="32"/>
          <w:szCs w:val="32"/>
          <w:lang w:val="en" w:eastAsia="zh-CN"/>
        </w:rPr>
        <w:t>生活垃圾处理中心（垃圾填埋场、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  <w:lang w:val="en" w:eastAsia="zh-CN"/>
        </w:rPr>
        <w:t>）通过环保检查。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绩效目标和绩效指标全面完整，是契合政策或项目实质，与部门的长期规划目标、年度工作目标相一致，产出和效果是相关联对项目效益进行全面分析评价：从项目经济效益：未直接产生经济效益；社会效益100%、生态效益100%、可持续效益以及服务对象满意度100%。</w:t>
      </w:r>
    </w:p>
    <w:p>
      <w:pPr>
        <w:numPr>
          <w:ilvl w:val="0"/>
          <w:numId w:val="1"/>
        </w:numPr>
        <w:spacing w:line="58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60" w:lineRule="exact"/>
        <w:ind w:firstLine="320" w:firstLineChars="100"/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制度、方法、机制等创新力度不够。</w:t>
      </w:r>
    </w:p>
    <w:p>
      <w:pPr>
        <w:numPr>
          <w:ilvl w:val="0"/>
          <w:numId w:val="1"/>
        </w:numPr>
        <w:spacing w:line="580" w:lineRule="exact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相关措施建议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加强管</w:t>
      </w:r>
      <w:r>
        <w:rPr>
          <w:rFonts w:hint="eastAsia" w:ascii="仿宋" w:hAnsi="仿宋" w:eastAsia="仿宋" w:cs="仿宋"/>
          <w:kern w:val="0"/>
          <w:sz w:val="32"/>
          <w:szCs w:val="32"/>
          <w:lang w:val="zh-CN" w:eastAsia="zh-CN" w:bidi="ar-SA"/>
        </w:rPr>
        <w:t>理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，完善制度，提高绩效管理履职效能。</w:t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改进工作方式，明确预算目标任务，高效、高质量完成工作任务。</w:t>
      </w:r>
    </w:p>
    <w:p>
      <w:pPr>
        <w:pStyle w:val="4"/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F5B14"/>
    <w:multiLevelType w:val="singleLevel"/>
    <w:tmpl w:val="140F5B1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2ODdhNGM3MTQ4ZmM5MjNhOTNiYTA4NGU2YzA5N2UifQ=="/>
  </w:docVars>
  <w:rsids>
    <w:rsidRoot w:val="004C22EC"/>
    <w:rsid w:val="004C22EC"/>
    <w:rsid w:val="007B38C6"/>
    <w:rsid w:val="0C2B1D62"/>
    <w:rsid w:val="12260CF8"/>
    <w:rsid w:val="12781557"/>
    <w:rsid w:val="19A12449"/>
    <w:rsid w:val="1AA32829"/>
    <w:rsid w:val="1B4A3EC4"/>
    <w:rsid w:val="22673393"/>
    <w:rsid w:val="32CA5C84"/>
    <w:rsid w:val="3A3233E1"/>
    <w:rsid w:val="3A826D10"/>
    <w:rsid w:val="3F93536F"/>
    <w:rsid w:val="40DF04C7"/>
    <w:rsid w:val="4162634C"/>
    <w:rsid w:val="4A0B0DD8"/>
    <w:rsid w:val="565025DE"/>
    <w:rsid w:val="57B166CC"/>
    <w:rsid w:val="584C47FD"/>
    <w:rsid w:val="5A4F562D"/>
    <w:rsid w:val="715C5458"/>
    <w:rsid w:val="71D451F0"/>
    <w:rsid w:val="77F04072"/>
    <w:rsid w:val="7D66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4">
    <w:name w:val="Body Text"/>
    <w:basedOn w:val="1"/>
    <w:next w:val="1"/>
    <w:qFormat/>
    <w:uiPriority w:val="1"/>
    <w:pPr>
      <w:ind w:left="220"/>
    </w:pPr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318</Words>
  <Characters>323</Characters>
  <Lines>2</Lines>
  <Paragraphs>1</Paragraphs>
  <TotalTime>0</TotalTime>
  <ScaleCrop>false</ScaleCrop>
  <LinksUpToDate>false</LinksUpToDate>
  <CharactersWithSpaces>323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陈瑶233</cp:lastModifiedBy>
  <dcterms:modified xsi:type="dcterms:W3CDTF">2023-08-28T10:08:08Z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AC329136C5AA49DD922E8F42A2A0B5A6_13</vt:lpwstr>
  </property>
</Properties>
</file>