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default" w:eastAsia="仿宋" w:cs="仿宋" w:asciiTheme="majorAscii" w:hAnsiTheme="majorAscii"/>
          <w:b/>
          <w:bCs w:val="0"/>
          <w:color w:val="000000"/>
          <w:kern w:val="0"/>
          <w:sz w:val="32"/>
          <w:szCs w:val="32"/>
          <w:lang w:val="en-US" w:eastAsia="zh-CN"/>
        </w:rPr>
      </w:pPr>
      <w:r>
        <w:rPr>
          <w:rFonts w:hint="default" w:eastAsia="仿宋" w:cs="仿宋" w:asciiTheme="majorAscii" w:hAnsiTheme="majorAscii"/>
          <w:b/>
          <w:bCs w:val="0"/>
          <w:sz w:val="32"/>
          <w:szCs w:val="32"/>
        </w:rPr>
        <w:t>20</w:t>
      </w:r>
      <w:r>
        <w:rPr>
          <w:rFonts w:hint="default" w:eastAsia="仿宋" w:cs="仿宋" w:asciiTheme="majorAscii" w:hAnsiTheme="majorAscii"/>
          <w:b/>
          <w:bCs w:val="0"/>
          <w:sz w:val="32"/>
          <w:szCs w:val="32"/>
          <w:lang w:val="en-US" w:eastAsia="zh-CN"/>
        </w:rPr>
        <w:t>22</w:t>
      </w:r>
      <w:r>
        <w:rPr>
          <w:rFonts w:hint="default" w:eastAsia="仿宋" w:cs="仿宋" w:asciiTheme="majorAscii" w:hAnsiTheme="majorAscii"/>
          <w:b/>
          <w:bCs w:val="0"/>
          <w:sz w:val="32"/>
          <w:szCs w:val="32"/>
        </w:rPr>
        <w:t>年</w:t>
      </w:r>
      <w:r>
        <w:rPr>
          <w:rFonts w:hint="default" w:eastAsia="仿宋" w:cs="仿宋" w:asciiTheme="majorAscii" w:hAnsiTheme="majorAscii"/>
          <w:b/>
          <w:bCs w:val="0"/>
          <w:color w:val="000000"/>
          <w:kern w:val="0"/>
          <w:sz w:val="32"/>
          <w:szCs w:val="32"/>
        </w:rPr>
        <w:t>垃圾填埋场</w:t>
      </w:r>
      <w:r>
        <w:rPr>
          <w:rFonts w:hint="default" w:eastAsia="仿宋" w:cs="仿宋" w:asciiTheme="majorAscii" w:hAnsiTheme="majorAscii"/>
          <w:b/>
          <w:bCs w:val="0"/>
          <w:color w:val="000000"/>
          <w:kern w:val="0"/>
          <w:sz w:val="32"/>
          <w:szCs w:val="32"/>
          <w:lang w:val="en-US" w:eastAsia="zh-CN"/>
        </w:rPr>
        <w:t>热解气化站</w:t>
      </w:r>
    </w:p>
    <w:p>
      <w:pPr>
        <w:spacing w:line="580" w:lineRule="exact"/>
        <w:jc w:val="center"/>
        <w:rPr>
          <w:rFonts w:ascii="仿宋_GB2312" w:hAnsi="黑体" w:eastAsia="仿宋_GB2312" w:cs="方正小标宋简体"/>
          <w:b/>
          <w:sz w:val="32"/>
          <w:szCs w:val="32"/>
        </w:rPr>
      </w:pPr>
      <w:r>
        <w:rPr>
          <w:rFonts w:hint="default" w:eastAsia="仿宋" w:cs="仿宋" w:asciiTheme="majorAscii" w:hAnsiTheme="majorAscii"/>
          <w:b/>
          <w:bCs w:val="0"/>
          <w:color w:val="000000"/>
          <w:kern w:val="0"/>
          <w:sz w:val="32"/>
          <w:szCs w:val="32"/>
        </w:rPr>
        <w:t>三方运营</w:t>
      </w:r>
      <w:r>
        <w:rPr>
          <w:rFonts w:hint="default" w:eastAsia="仿宋" w:cs="仿宋" w:asciiTheme="majorAscii" w:hAnsiTheme="majorAscii"/>
          <w:b/>
          <w:bCs w:val="0"/>
          <w:color w:val="000000"/>
          <w:kern w:val="0"/>
          <w:sz w:val="32"/>
          <w:szCs w:val="32"/>
          <w:lang w:val="en-US" w:eastAsia="zh-CN"/>
        </w:rPr>
        <w:t>项</w:t>
      </w:r>
      <w:r>
        <w:rPr>
          <w:rFonts w:hint="default" w:eastAsia="仿宋" w:cs="仿宋" w:asciiTheme="majorAscii" w:hAnsiTheme="majorAscii"/>
          <w:b/>
          <w:bCs w:val="0"/>
          <w:sz w:val="32"/>
          <w:szCs w:val="32"/>
        </w:rPr>
        <w:t>目支出绩效评价报告</w:t>
      </w:r>
    </w:p>
    <w:p>
      <w:pPr>
        <w:spacing w:line="580" w:lineRule="exact"/>
        <w:ind w:firstLine="640" w:firstLineChars="200"/>
        <w:rPr>
          <w:rFonts w:ascii="仿宋_GB2312" w:hAnsi="仿宋_GB2312"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pPr>
        <w:spacing w:line="560" w:lineRule="exact"/>
        <w:ind w:firstLine="640" w:firstLineChars="200"/>
        <w:rPr>
          <w:rFonts w:hint="default" w:eastAsia="仿宋_GB2312"/>
          <w:lang w:val="en-US" w:eastAsia="zh-CN"/>
        </w:rPr>
      </w:pPr>
      <w:r>
        <w:rPr>
          <w:rFonts w:hint="eastAsia" w:ascii="仿宋_GB2312" w:hAnsi="仿宋_GB2312" w:eastAsia="仿宋_GB2312" w:cs="仿宋_GB2312"/>
          <w:kern w:val="2"/>
          <w:sz w:val="32"/>
          <w:szCs w:val="32"/>
          <w:lang w:val="zh-CN" w:eastAsia="zh-CN" w:bidi="ar-SA"/>
        </w:rPr>
        <w:t>黑水县生活垃圾中转站、热解气化站运营管理项目</w:t>
      </w:r>
      <w:r>
        <w:rPr>
          <w:rFonts w:hint="eastAsia" w:ascii="仿宋_GB2312" w:hAnsi="仿宋_GB2312" w:eastAsia="仿宋_GB2312" w:cs="仿宋_GB2312"/>
          <w:kern w:val="2"/>
          <w:sz w:val="32"/>
          <w:szCs w:val="32"/>
          <w:lang w:val="en-US" w:eastAsia="zh-CN" w:bidi="ar-SA"/>
        </w:rPr>
        <w:t xml:space="preserve">; </w:t>
      </w:r>
      <w:r>
        <w:rPr>
          <w:rFonts w:hint="eastAsia" w:ascii="仿宋_GB2312" w:hAnsi="仿宋_GB2312" w:eastAsia="仿宋_GB2312" w:cs="仿宋_GB2312"/>
          <w:sz w:val="32"/>
          <w:szCs w:val="32"/>
        </w:rPr>
        <w:t>通过公开招标第三方运营公司对热解气化站进行统一管理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2"/>
          <w:sz w:val="32"/>
          <w:szCs w:val="32"/>
          <w:lang w:val="en-US" w:eastAsia="zh-CN" w:bidi="ar-SA"/>
        </w:rPr>
        <w:t>运</w:t>
      </w:r>
      <w:r>
        <w:rPr>
          <w:rFonts w:hint="eastAsia" w:ascii="仿宋_GB2312" w:hAnsi="仿宋_GB2312" w:eastAsia="仿宋_GB2312" w:cs="仿宋_GB2312"/>
          <w:kern w:val="2"/>
          <w:sz w:val="32"/>
          <w:szCs w:val="32"/>
          <w:lang w:val="zh-CN" w:eastAsia="zh-CN" w:bidi="ar-SA"/>
        </w:rPr>
        <w:t>营管理一座处理规模50吨/天的生活垃圾热解气化站；</w:t>
      </w:r>
      <w:bookmarkStart w:id="0" w:name="_Toc12664_WPSOffice_Level2"/>
      <w:r>
        <w:rPr>
          <w:rFonts w:hint="eastAsia" w:ascii="仿宋_GB2312" w:hAnsi="仿宋_GB2312" w:eastAsia="仿宋_GB2312" w:cs="仿宋_GB2312"/>
          <w:kern w:val="2"/>
          <w:sz w:val="32"/>
          <w:szCs w:val="32"/>
          <w:lang w:val="zh-CN" w:eastAsia="zh-CN" w:bidi="ar-SA"/>
        </w:rPr>
        <w:t>运营管理五座垃圾中转站。</w:t>
      </w:r>
      <w:bookmarkEnd w:id="0"/>
      <w:r>
        <w:rPr>
          <w:rFonts w:hint="eastAsia" w:ascii="仿宋_GB2312" w:hAnsi="仿宋_GB2312" w:eastAsia="仿宋_GB2312" w:cs="仿宋_GB2312"/>
          <w:sz w:val="32"/>
          <w:szCs w:val="32"/>
        </w:rPr>
        <w:t>黑水县垃圾填埋场垃圾处理流程为：1、县城收集运送至填埋场堆放；2、推土机推平；3、装载机盖土；4、压实机压实；5、工人抛洒石灰消毒；6、消毒员喷洒灭蝇消毒药品。</w:t>
      </w:r>
      <w:r>
        <w:rPr>
          <w:rFonts w:hint="eastAsia" w:ascii="仿宋_GB2312" w:hAnsi="仿宋_GB2312" w:eastAsia="仿宋_GB2312" w:cs="仿宋_GB2312"/>
          <w:sz w:val="32"/>
          <w:szCs w:val="32"/>
          <w:lang w:eastAsia="zh-CN"/>
        </w:rPr>
        <w:t>该项目资金用于：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公开招标</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第三方运营公司对热解气化站</w:t>
      </w:r>
      <w:r>
        <w:rPr>
          <w:rFonts w:hint="eastAsia" w:ascii="仿宋_GB2312" w:hAnsi="仿宋_GB2312" w:eastAsia="仿宋_GB2312" w:cs="仿宋_GB2312"/>
          <w:sz w:val="32"/>
          <w:szCs w:val="32"/>
          <w:lang w:eastAsia="zh-CN"/>
        </w:rPr>
        <w:t>、垃圾中转站运营管理费，</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设备油耗、维修维护费用</w:t>
      </w: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垃圾填埋场消杀灭蝇、鼠、蚊虫药品采购等相关经费</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垃圾填埋场覆盖用泥土购置</w:t>
      </w:r>
      <w:r>
        <w:rPr>
          <w:rFonts w:hint="eastAsia" w:ascii="仿宋_GB2312" w:hAnsi="仿宋_GB2312" w:eastAsia="仿宋_GB2312" w:cs="仿宋_GB2312"/>
          <w:b w:val="0"/>
          <w:bCs w:val="0"/>
          <w:sz w:val="32"/>
          <w:szCs w:val="32"/>
          <w:lang w:eastAsia="zh-CN"/>
        </w:rPr>
        <w:t>费，</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垃圾处理厂基础设施修建及维护</w:t>
      </w:r>
      <w:r>
        <w:rPr>
          <w:rFonts w:hint="eastAsia" w:ascii="仿宋_GB2312" w:hAnsi="仿宋_GB2312" w:eastAsia="仿宋_GB2312" w:cs="仿宋_GB2312"/>
          <w:b w:val="0"/>
          <w:bCs w:val="0"/>
          <w:sz w:val="32"/>
          <w:szCs w:val="32"/>
          <w:lang w:eastAsia="zh-CN"/>
        </w:rPr>
        <w:t>费，</w:t>
      </w: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rPr>
        <w:t>环保整改，标识标牌标准化建设场区集中整治杂草杂物垃圾清理及设备租赁费</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7</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整个场区春防工作相关经费</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numPr>
          <w:ilvl w:val="0"/>
          <w:numId w:val="0"/>
        </w:numPr>
        <w:ind w:firstLine="62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垃圾填埋场专项经费及垃圾中转站维修维护费项目用于垃圾填埋场热解气化站及垃圾中转站维修维护费和运营经费，此项目能完善城市基础设施建设，能够保持城市环境,把垃圾污染尽可能的降到最低限度,提高我县垃圾处理中心的工作效率和处置能力， 从根本上实现生活垃圾的无害化处理, 使生活垃圾达到无害化、减量化、资源化的总目标。</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pPr>
        <w:pStyle w:val="4"/>
        <w:keepNext w:val="0"/>
        <w:keepLines w:val="0"/>
        <w:pageBreakBefore w:val="0"/>
        <w:widowControl w:val="0"/>
        <w:kinsoku/>
        <w:wordWrap/>
        <w:overflowPunct/>
        <w:topLinePunct w:val="0"/>
        <w:autoSpaceDE/>
        <w:autoSpaceDN/>
        <w:bidi w:val="0"/>
        <w:adjustRightInd/>
        <w:snapToGrid/>
        <w:ind w:left="0" w:firstLine="56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此项目能够产生社会效益、生态效益、提升服务对象满意度，社会效益主要包括减轻城市污染、能够保持城市环境、提高我县垃圾处理中心的工作效率和处置能力</w:t>
      </w:r>
      <w:r>
        <w:rPr>
          <w:rFonts w:hint="eastAsia" w:cs="仿宋"/>
          <w:kern w:val="2"/>
          <w:sz w:val="28"/>
          <w:szCs w:val="28"/>
          <w:lang w:val="en-US" w:eastAsia="zh-CN" w:bidi="ar-SA"/>
        </w:rPr>
        <w:t>。生态效益包括保护下游水资源和周围生态</w:t>
      </w:r>
      <w:r>
        <w:rPr>
          <w:rFonts w:hint="eastAsia" w:ascii="仿宋" w:hAnsi="仿宋" w:eastAsia="仿宋" w:cs="仿宋"/>
          <w:kern w:val="2"/>
          <w:sz w:val="28"/>
          <w:szCs w:val="28"/>
          <w:lang w:val="en-US" w:eastAsia="zh-CN" w:bidi="ar-SA"/>
        </w:rPr>
        <w:t>环境、减轻二次污染。提升服务对象满意度包括保护人民身体健康、为人民群众创造一个良好的生活工作环境。</w:t>
      </w:r>
    </w:p>
    <w:p>
      <w:pPr>
        <w:pStyle w:val="4"/>
        <w:keepNext w:val="0"/>
        <w:keepLines w:val="0"/>
        <w:pageBreakBefore w:val="0"/>
        <w:widowControl w:val="0"/>
        <w:kinsoku/>
        <w:wordWrap/>
        <w:overflowPunct/>
        <w:topLinePunct w:val="0"/>
        <w:autoSpaceDE/>
        <w:autoSpaceDN/>
        <w:bidi w:val="0"/>
        <w:adjustRightInd/>
        <w:snapToGrid/>
        <w:ind w:left="0" w:firstLine="560"/>
        <w:textAlignment w:val="auto"/>
        <w:rPr>
          <w:rFonts w:hint="default" w:cs="仿宋"/>
          <w:kern w:val="2"/>
          <w:sz w:val="28"/>
          <w:szCs w:val="28"/>
          <w:lang w:val="en-US" w:eastAsia="zh-CN" w:bidi="ar-SA"/>
        </w:rPr>
      </w:pPr>
      <w:r>
        <w:rPr>
          <w:rFonts w:hint="eastAsia" w:ascii="仿宋" w:hAnsi="仿宋" w:eastAsia="仿宋" w:cs="仿宋"/>
          <w:kern w:val="2"/>
          <w:sz w:val="28"/>
          <w:szCs w:val="28"/>
          <w:lang w:val="en-US" w:eastAsia="zh-CN" w:bidi="ar-SA"/>
        </w:rPr>
        <w:t>此项目实施</w:t>
      </w:r>
      <w:r>
        <w:rPr>
          <w:rFonts w:hint="eastAsia" w:cs="仿宋"/>
          <w:kern w:val="2"/>
          <w:sz w:val="28"/>
          <w:szCs w:val="28"/>
          <w:lang w:val="en-US" w:eastAsia="zh-CN" w:bidi="ar-SA"/>
        </w:rPr>
        <w:t>期间为2022年8月至2023年7月，垃圾填埋场热解气化站运营经费按月执行。</w:t>
      </w:r>
      <w:bookmarkStart w:id="1" w:name="_GoBack"/>
      <w:bookmarkEnd w:id="1"/>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pPr>
        <w:snapToGrid w:val="0"/>
        <w:spacing w:before="156" w:beforeLines="50" w:after="156" w:afterLines="50" w:line="560" w:lineRule="exact"/>
        <w:ind w:firstLine="640" w:firstLineChars="200"/>
        <w:jc w:val="left"/>
        <w:rPr>
          <w:rFonts w:hint="eastAsia"/>
          <w:sz w:val="32"/>
          <w:szCs w:val="32"/>
        </w:rPr>
      </w:pPr>
      <w:r>
        <w:rPr>
          <w:rFonts w:hint="eastAsia" w:ascii="仿宋" w:hAnsi="仿宋" w:eastAsia="仿宋" w:cs="仿宋"/>
          <w:kern w:val="2"/>
          <w:sz w:val="32"/>
          <w:szCs w:val="32"/>
          <w:lang w:val="en-US" w:eastAsia="zh-CN" w:bidi="ar-SA"/>
        </w:rPr>
        <w:t>该项目各类资金来自县级财政资金，资金按批复金额在项目实施前全部到位，与资金计划相契合，资金到位率、到位及时性均为100%，保障项目能够如期开展。</w:t>
      </w:r>
      <w:r>
        <w:rPr>
          <w:rFonts w:hint="eastAsia" w:ascii="仿宋" w:hAnsi="仿宋" w:eastAsia="仿宋" w:cs="仿宋"/>
          <w:sz w:val="32"/>
          <w:szCs w:val="32"/>
          <w:lang w:val="en-US" w:eastAsia="zh-CN"/>
        </w:rPr>
        <w:t xml:space="preserve">  预算申报项目资金金额为402万元，批复金额为402万元，实际使用金额400.4万元。项目资金符合资金管理办法等相关规定，根据国家、省、州资金使用规定，加强资金使用监管，做到合理使用资金，专款专用，不得以任何理由挪作他用。</w:t>
      </w:r>
      <w:r>
        <w:rPr>
          <w:rFonts w:hint="eastAsia" w:ascii="仿宋" w:hAnsi="仿宋" w:eastAsia="仿宋" w:cs="仿宋"/>
          <w:sz w:val="32"/>
          <w:szCs w:val="32"/>
          <w:lang w:val="zh-CN"/>
        </w:rPr>
        <w:t>申报内容与实际相符，申报目标合理可行</w:t>
      </w:r>
      <w:r>
        <w:rPr>
          <w:rFonts w:hint="eastAsia" w:ascii="仿宋" w:hAnsi="仿宋" w:eastAsia="仿宋" w:cs="仿宋"/>
          <w:sz w:val="32"/>
          <w:szCs w:val="32"/>
          <w:lang w:val="en-US" w:eastAsia="zh-CN"/>
        </w:rPr>
        <w:t>,热解气化站经费</w:t>
      </w:r>
      <w:r>
        <w:rPr>
          <w:rFonts w:hint="eastAsia" w:ascii="仿宋" w:hAnsi="仿宋" w:eastAsia="仿宋" w:cs="仿宋"/>
          <w:sz w:val="32"/>
          <w:szCs w:val="32"/>
        </w:rPr>
        <w:t>符合经济社会发展规划。项目申报批复程序严格按照相关管理方法进行，项目资金分配科学进行预算，较为合理和全面。项目资金的及时足额到位确保了项目的正常有序和顺利开展。</w:t>
      </w:r>
      <w:r>
        <w:rPr>
          <w:rFonts w:hint="eastAsia" w:ascii="仿宋" w:hAnsi="仿宋" w:eastAsia="仿宋" w:cs="仿宋"/>
          <w:kern w:val="2"/>
          <w:sz w:val="32"/>
          <w:szCs w:val="32"/>
          <w:lang w:val="en-US" w:eastAsia="zh-CN" w:bidi="ar-SA"/>
        </w:rPr>
        <w:t>项目严格执行财务管理制度，财务处理及时，会计核算规范。项目投入资金为国家重点生态功能区转移支付资金，项目资金有保障。在资金使用方面，根据国家、省、州资金使用规定，加强资金使用监管，做到合理使用资金，专款专用，不得以任何理由挪作他用。</w:t>
      </w:r>
    </w:p>
    <w:p>
      <w:pPr>
        <w:spacing w:line="580" w:lineRule="exact"/>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pPr>
        <w:numPr>
          <w:ilvl w:val="0"/>
          <w:numId w:val="0"/>
        </w:numPr>
        <w:ind w:firstLine="62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此项目是为了落实环保督察反馈问题整改保证黑水县城乡</w:t>
      </w:r>
      <w:r>
        <w:rPr>
          <w:rFonts w:hint="eastAsia" w:ascii="仿宋" w:hAnsi="仿宋" w:eastAsia="仿宋" w:cs="仿宋"/>
          <w:sz w:val="28"/>
          <w:szCs w:val="28"/>
          <w:lang w:val="en" w:eastAsia="zh-CN"/>
        </w:rPr>
        <w:t>生活垃圾处理中心（垃圾填埋场、热解气化站）</w:t>
      </w:r>
      <w:r>
        <w:rPr>
          <w:rFonts w:hint="eastAsia" w:ascii="仿宋" w:hAnsi="仿宋" w:eastAsia="仿宋" w:cs="仿宋"/>
          <w:sz w:val="28"/>
          <w:szCs w:val="28"/>
          <w:lang w:val="en-US" w:eastAsia="zh-CN"/>
        </w:rPr>
        <w:t>正常使用和安全运行，以提高效率，降低成本达到生活垃圾无害化处理的目的。</w:t>
      </w:r>
      <w:r>
        <w:rPr>
          <w:rFonts w:hint="eastAsia" w:ascii="仿宋" w:hAnsi="仿宋" w:eastAsia="仿宋" w:cs="仿宋"/>
          <w:sz w:val="28"/>
          <w:szCs w:val="28"/>
          <w:lang w:val="en" w:eastAsia="zh-CN"/>
        </w:rPr>
        <w:t>实现生活垃圾填埋服务，对城区环境卫生综合整治等工作进行统一部署，确保城市干净整洁，确保我县</w:t>
      </w:r>
      <w:r>
        <w:rPr>
          <w:rFonts w:hint="eastAsia" w:ascii="仿宋" w:hAnsi="仿宋" w:eastAsia="仿宋" w:cs="仿宋"/>
          <w:sz w:val="28"/>
          <w:szCs w:val="28"/>
          <w:lang w:val="en-US" w:eastAsia="zh-CN"/>
        </w:rPr>
        <w:t>城乡</w:t>
      </w:r>
      <w:r>
        <w:rPr>
          <w:rFonts w:hint="eastAsia" w:ascii="仿宋" w:hAnsi="仿宋" w:eastAsia="仿宋" w:cs="仿宋"/>
          <w:sz w:val="28"/>
          <w:szCs w:val="28"/>
          <w:lang w:val="en" w:eastAsia="zh-CN"/>
        </w:rPr>
        <w:t>生活垃圾处理中心（垃圾填埋场、热解气化站）通过环保检查。</w:t>
      </w:r>
      <w:r>
        <w:rPr>
          <w:rFonts w:hint="eastAsia" w:ascii="仿宋" w:hAnsi="仿宋" w:eastAsia="仿宋" w:cs="仿宋"/>
          <w:sz w:val="28"/>
          <w:szCs w:val="28"/>
          <w:lang w:val="en-US" w:eastAsia="zh-CN"/>
        </w:rPr>
        <w:t>绩效目标和绩效指标全面完整，是契合政策或项目实质，与部门的长期规划目标、年度工作目标相一致，产出和效果是相关联对项目效益进行全面分析评价：从项目经济效益：未直接产生经济效益；社会效益100%、生态效益100%、可持续效益以及服务对象满意度100%。</w:t>
      </w:r>
    </w:p>
    <w:p>
      <w:pPr>
        <w:numPr>
          <w:ilvl w:val="0"/>
          <w:numId w:val="1"/>
        </w:numPr>
        <w:spacing w:line="580" w:lineRule="exact"/>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pPr>
        <w:numPr>
          <w:ilvl w:val="0"/>
          <w:numId w:val="0"/>
        </w:numPr>
        <w:spacing w:line="560" w:lineRule="exact"/>
        <w:ind w:firstLine="320" w:firstLineChars="100"/>
        <w:rPr>
          <w:rFonts w:hint="eastAsia" w:ascii="仿宋" w:hAnsi="仿宋" w:eastAsia="仿宋" w:cs="仿宋"/>
          <w:kern w:val="0"/>
          <w:sz w:val="32"/>
          <w:szCs w:val="32"/>
          <w:shd w:val="clear" w:color="auto" w:fill="FFFEFB"/>
          <w:lang w:val="en-US" w:eastAsia="zh-CN" w:bidi="ar"/>
        </w:rPr>
      </w:pPr>
      <w:r>
        <w:rPr>
          <w:rFonts w:hint="eastAsia" w:ascii="仿宋" w:hAnsi="仿宋" w:eastAsia="仿宋" w:cs="仿宋"/>
          <w:kern w:val="0"/>
          <w:sz w:val="32"/>
          <w:szCs w:val="32"/>
          <w:shd w:val="clear" w:color="auto" w:fill="FFFEFB"/>
          <w:lang w:val="en-US" w:eastAsia="zh-CN" w:bidi="ar"/>
        </w:rPr>
        <w:t>制度、方法、机制等创新力度不够。</w:t>
      </w:r>
    </w:p>
    <w:p>
      <w:pPr>
        <w:numPr>
          <w:ilvl w:val="0"/>
          <w:numId w:val="1"/>
        </w:numPr>
        <w:spacing w:line="580" w:lineRule="exact"/>
        <w:ind w:left="0" w:leftChars="0" w:firstLine="0" w:firstLineChars="0"/>
        <w:rPr>
          <w:rFonts w:hint="eastAsia" w:ascii="仿宋_GB2312" w:hAnsi="仿宋" w:eastAsia="仿宋_GB2312" w:cs="仿宋_GB2312"/>
          <w:sz w:val="32"/>
          <w:szCs w:val="32"/>
        </w:rPr>
      </w:pPr>
      <w:r>
        <w:rPr>
          <w:rFonts w:hint="eastAsia" w:ascii="仿宋_GB2312" w:hAnsi="仿宋" w:eastAsia="仿宋_GB2312" w:cs="仿宋_GB2312"/>
          <w:sz w:val="32"/>
          <w:szCs w:val="32"/>
        </w:rPr>
        <w:t>相关措施建议</w:t>
      </w:r>
    </w:p>
    <w:p>
      <w:pPr>
        <w:numPr>
          <w:ilvl w:val="0"/>
          <w:numId w:val="0"/>
        </w:numPr>
        <w:spacing w:line="560" w:lineRule="exact"/>
        <w:ind w:firstLine="640" w:firstLineChars="200"/>
        <w:rPr>
          <w:rFonts w:hint="eastAsia" w:ascii="仿宋" w:hAnsi="仿宋" w:eastAsia="仿宋" w:cs="仿宋"/>
          <w:kern w:val="0"/>
          <w:sz w:val="32"/>
          <w:szCs w:val="32"/>
          <w:shd w:val="clear" w:color="auto" w:fill="FFFEFB"/>
          <w:lang w:val="zh-CN" w:eastAsia="zh-CN" w:bidi="ar"/>
        </w:rPr>
      </w:pPr>
      <w:r>
        <w:rPr>
          <w:rFonts w:hint="eastAsia" w:ascii="仿宋" w:hAnsi="仿宋" w:eastAsia="仿宋" w:cs="仿宋"/>
          <w:kern w:val="0"/>
          <w:sz w:val="32"/>
          <w:szCs w:val="32"/>
          <w:shd w:val="clear" w:color="auto" w:fill="FFFEFB"/>
          <w:lang w:val="en-US" w:eastAsia="zh-CN" w:bidi="ar"/>
        </w:rPr>
        <w:t>1.</w:t>
      </w:r>
      <w:r>
        <w:rPr>
          <w:rFonts w:hint="eastAsia" w:ascii="仿宋" w:hAnsi="仿宋" w:eastAsia="仿宋" w:cs="仿宋"/>
          <w:kern w:val="0"/>
          <w:sz w:val="32"/>
          <w:szCs w:val="32"/>
          <w:shd w:val="clear" w:color="auto" w:fill="FFFEFB"/>
          <w:lang w:val="zh-CN" w:eastAsia="zh-CN" w:bidi="ar"/>
        </w:rPr>
        <w:t>加强管</w:t>
      </w:r>
      <w:r>
        <w:rPr>
          <w:rFonts w:hint="eastAsia" w:ascii="仿宋" w:hAnsi="仿宋" w:eastAsia="仿宋" w:cs="仿宋"/>
          <w:kern w:val="0"/>
          <w:sz w:val="32"/>
          <w:szCs w:val="32"/>
          <w:lang w:val="zh-CN" w:eastAsia="zh-CN" w:bidi="ar-SA"/>
        </w:rPr>
        <w:t>理</w:t>
      </w:r>
      <w:r>
        <w:rPr>
          <w:rFonts w:hint="eastAsia" w:ascii="仿宋" w:hAnsi="仿宋" w:eastAsia="仿宋" w:cs="仿宋"/>
          <w:kern w:val="0"/>
          <w:sz w:val="32"/>
          <w:szCs w:val="32"/>
          <w:shd w:val="clear" w:color="auto" w:fill="FFFEFB"/>
          <w:lang w:val="zh-CN" w:eastAsia="zh-CN" w:bidi="ar"/>
        </w:rPr>
        <w:t>，完善制度，提高绩效管理履职效能。</w:t>
      </w:r>
    </w:p>
    <w:p>
      <w:pPr>
        <w:pStyle w:val="4"/>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kern w:val="0"/>
          <w:sz w:val="32"/>
          <w:szCs w:val="32"/>
          <w:shd w:val="clear" w:color="auto" w:fill="FFFEFB"/>
          <w:lang w:val="en-US" w:eastAsia="zh-CN" w:bidi="ar"/>
        </w:rPr>
        <w:t>2.</w:t>
      </w:r>
      <w:r>
        <w:rPr>
          <w:rFonts w:hint="eastAsia" w:ascii="仿宋" w:hAnsi="仿宋" w:eastAsia="仿宋" w:cs="仿宋"/>
          <w:kern w:val="0"/>
          <w:sz w:val="32"/>
          <w:szCs w:val="32"/>
          <w:shd w:val="clear" w:color="auto" w:fill="FFFEFB"/>
          <w:lang w:val="zh-CN" w:eastAsia="zh-CN" w:bidi="ar"/>
        </w:rPr>
        <w:t>改进工作方式，明确预算目标任务，高效、高质量完成工作任务。</w:t>
      </w:r>
    </w:p>
    <w:p>
      <w:pPr>
        <w:pStyle w:val="4"/>
        <w:numPr>
          <w:ilvl w:val="0"/>
          <w:numId w:val="1"/>
        </w:numPr>
        <w:ind w:left="0" w:leftChars="0" w:firstLine="0" w:firstLineChars="0"/>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华文楷体">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0F5B14"/>
    <w:multiLevelType w:val="singleLevel"/>
    <w:tmpl w:val="140F5B1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2ODdhNGM3MTQ4ZmM5MjNhOTNiYTA4NGU2YzA5N2UifQ=="/>
  </w:docVars>
  <w:rsids>
    <w:rsidRoot w:val="004C22EC"/>
    <w:rsid w:val="004C22EC"/>
    <w:rsid w:val="007B38C6"/>
    <w:rsid w:val="12781557"/>
    <w:rsid w:val="19A12449"/>
    <w:rsid w:val="1B4A3EC4"/>
    <w:rsid w:val="22673393"/>
    <w:rsid w:val="24494687"/>
    <w:rsid w:val="2E7B55F4"/>
    <w:rsid w:val="32CA5C84"/>
    <w:rsid w:val="335C02D0"/>
    <w:rsid w:val="397A212F"/>
    <w:rsid w:val="3A826D10"/>
    <w:rsid w:val="3F93536F"/>
    <w:rsid w:val="4A0B0DD8"/>
    <w:rsid w:val="4C2D77DD"/>
    <w:rsid w:val="565025DE"/>
    <w:rsid w:val="57B166CC"/>
    <w:rsid w:val="584C47FD"/>
    <w:rsid w:val="5A4F562D"/>
    <w:rsid w:val="715C5458"/>
    <w:rsid w:val="764062FA"/>
    <w:rsid w:val="7D667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unhideWhenUsed/>
    <w:qFormat/>
    <w:uiPriority w:val="99"/>
    <w:pPr>
      <w:ind w:left="200" w:leftChars="200" w:hanging="200" w:hangingChars="200"/>
    </w:pPr>
  </w:style>
  <w:style w:type="paragraph" w:styleId="4">
    <w:name w:val="Body Text"/>
    <w:basedOn w:val="1"/>
    <w:next w:val="1"/>
    <w:qFormat/>
    <w:uiPriority w:val="1"/>
    <w:pPr>
      <w:ind w:left="220"/>
    </w:pPr>
    <w:rPr>
      <w:rFonts w:ascii="仿宋" w:hAnsi="仿宋" w:eastAsia="仿宋" w:cs="仿宋"/>
      <w:sz w:val="24"/>
      <w:szCs w:val="24"/>
      <w:lang w:val="zh-CN" w:eastAsia="zh-CN" w:bidi="zh-CN"/>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3"/>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Pages>
  <Words>318</Words>
  <Characters>323</Characters>
  <Lines>2</Lines>
  <Paragraphs>1</Paragraphs>
  <TotalTime>0</TotalTime>
  <ScaleCrop>false</ScaleCrop>
  <LinksUpToDate>false</LinksUpToDate>
  <CharactersWithSpaces>323</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陈瑶233</cp:lastModifiedBy>
  <dcterms:modified xsi:type="dcterms:W3CDTF">2023-08-28T09:42:14Z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AC329136C5AA49DD922E8F42A2A0B5A6_13</vt:lpwstr>
  </property>
</Properties>
</file>