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1067F">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垃圾填埋场热解气化站运营经费</w:t>
      </w:r>
      <w:r>
        <w:rPr>
          <w:rFonts w:hint="eastAsia" w:ascii="仿宋_GB2312" w:hAnsi="黑体" w:eastAsia="仿宋_GB2312" w:cs="方正小标宋简体"/>
          <w:b/>
          <w:sz w:val="32"/>
          <w:szCs w:val="32"/>
        </w:rPr>
        <w:t>项目</w:t>
      </w:r>
    </w:p>
    <w:p w14:paraId="73AF8898">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14:paraId="2AA572A2">
      <w:pPr>
        <w:spacing w:line="580" w:lineRule="exact"/>
        <w:ind w:firstLine="640" w:firstLineChars="200"/>
        <w:rPr>
          <w:rFonts w:ascii="仿宋_GB2312" w:hAnsi="仿宋_GB2312" w:eastAsia="仿宋_GB2312" w:cs="仿宋_GB2312"/>
          <w:sz w:val="32"/>
          <w:szCs w:val="32"/>
        </w:rPr>
      </w:pPr>
    </w:p>
    <w:p w14:paraId="2BFA3C3A">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CN"/>
        </w:rPr>
        <w:t>项目概况</w:t>
      </w:r>
    </w:p>
    <w:p w14:paraId="77B56370">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（一）设立背景及基本情况。</w:t>
      </w:r>
    </w:p>
    <w:p w14:paraId="6B6439A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12B2F0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随着城镇化和工业化的加速发展，生活垃圾产生量急剧增加。据统计，中国主要城市年产生活垃圾已达到1.5亿吨，并且还在以每年8%—10%的速度攀升。这种快速增长的垃圾量给城市环境带来了巨大的压力，亟需有效的处理手段。传统的垃圾处理方式，如填埋和焚烧，存在诸多弊端，如占用大量土地资源、污染地下水、空气以及产生有毒有害物质等。因此，探索更为环保、高效的垃圾处理方式成为当务之急。</w:t>
      </w:r>
    </w:p>
    <w:p w14:paraId="2BDD556B">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2.项目立项、资金申报的依据</w:t>
      </w:r>
    </w:p>
    <w:p w14:paraId="324991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随着城市化进程的加快和居民生活水平的提高，垃圾产生量不断增加，传统的垃圾处理方式已经难以满足需求。垃圾填埋场热解气化站作为一种新型、高效的垃圾处理方式，具有广阔的市场前景和需求空间。</w:t>
      </w:r>
    </w:p>
    <w:p w14:paraId="38EB4B55">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3.项目主要内容</w:t>
      </w:r>
    </w:p>
    <w:p w14:paraId="35199B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lang w:val="zh-CN" w:eastAsia="zh-CN"/>
        </w:rPr>
        <w:t>黑水县生活垃圾中转站、热解气化站运营管理项目</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通过公开招标第三方运营公司对热解气化站进行统一管理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运</w:t>
      </w:r>
      <w:r>
        <w:rPr>
          <w:rFonts w:hint="eastAsia" w:ascii="仿宋_GB2312" w:hAnsi="仿宋_GB2312" w:eastAsia="仿宋_GB2312" w:cs="仿宋_GB2312"/>
          <w:kern w:val="0"/>
          <w:sz w:val="32"/>
          <w:szCs w:val="32"/>
          <w:lang w:val="zh-CN" w:eastAsia="zh-CN"/>
        </w:rPr>
        <w:t>营管理一座处理规模50吨/天的生活垃圾热解气化站；</w:t>
      </w:r>
      <w:bookmarkStart w:id="0" w:name="_Toc12664_WPSOffice_Level2"/>
      <w:r>
        <w:rPr>
          <w:rFonts w:hint="eastAsia" w:ascii="仿宋_GB2312" w:hAnsi="仿宋_GB2312" w:eastAsia="仿宋_GB2312" w:cs="仿宋_GB2312"/>
          <w:kern w:val="0"/>
          <w:sz w:val="32"/>
          <w:szCs w:val="32"/>
          <w:lang w:val="zh-CN" w:eastAsia="zh-CN"/>
        </w:rPr>
        <w:t>运营管理五座垃圾中转站。</w:t>
      </w:r>
      <w:bookmarkEnd w:id="0"/>
    </w:p>
    <w:p w14:paraId="16DACCA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651654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我单位承担专项资金绩效管理的主体责任，主要负责提出专项资金分配方案，制定项目管理制度，组织项目评审和实施，开展项目验收、绩效评价和监督检查等工作。</w:t>
      </w:r>
    </w:p>
    <w:p w14:paraId="19306766">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实施目的及支持方向。</w:t>
      </w:r>
    </w:p>
    <w:p w14:paraId="735BEBF9">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711684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zh-CN" w:eastAsia="zh-CN"/>
        </w:rPr>
        <w:t>我单位结合实际制定和完善了项目资金管理办法，项目管理办法有效执行。</w:t>
      </w:r>
    </w:p>
    <w:p w14:paraId="3DA7101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2.项目实施目的和主要工作任务</w:t>
      </w:r>
    </w:p>
    <w:p w14:paraId="33E314C7">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val="en" w:eastAsia="zh-CN"/>
        </w:rPr>
        <w:t>）生活垃圾处理能力提升</w:t>
      </w:r>
    </w:p>
    <w:p w14:paraId="549774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实施后,完善了城市基础设施建设，能够保持城市环境, 保护人民身体健康, 把垃圾污染尽可能的降到最低限度,提高了我县垃圾处理中心的工作效率和处置能力，为人民群众创造一个良好的生活工作环境, 从根本上实现生活垃圾的无害化处理, 使生活垃圾达到无害化、减量化、资源化的总目标；</w:t>
      </w:r>
    </w:p>
    <w:p w14:paraId="0AAB2A9A">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（2）保障地下水安全的需要</w:t>
      </w:r>
    </w:p>
    <w:p w14:paraId="7BA70D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该项目污水净化处理及环境监测系统项目工程，在堆填过程中产生的渗沥液不会渗入周围环境，不会污染周围环境，也不会渗入地下水，不会对周围居民乃至下游的饮水安全构造成直接威胁。</w:t>
      </w:r>
    </w:p>
    <w:p w14:paraId="0C749F6A">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（3）开发旅游资源，改善投资环境的需要</w:t>
      </w:r>
    </w:p>
    <w:p w14:paraId="521CCA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县历史悠久，人文荟萃，有着丰富的旅游资源。经过多年的开发建设，在开发旅游资源、发展旅游事业上取得了很大成就。形成了首批众多旅游景区。为了进一步发展旅游资源，同时改善黑水的投资环境，必须加大力度进一步改善城市的环境质量。城市环境质量的高低，直接影响到作为旅游城市的面貌，并对投资环境有着重要影响。项目实施后治理了污染，改善环境，有助于其更好地发展</w:t>
      </w:r>
      <w:bookmarkStart w:id="2" w:name="_GoBack"/>
      <w:bookmarkEnd w:id="2"/>
      <w:r>
        <w:rPr>
          <w:rFonts w:hint="eastAsia" w:ascii="仿宋_GB2312" w:hAnsi="仿宋_GB2312" w:eastAsia="仿宋_GB2312" w:cs="仿宋_GB2312"/>
          <w:kern w:val="0"/>
          <w:sz w:val="32"/>
          <w:szCs w:val="32"/>
          <w:lang w:val="en-US" w:eastAsia="zh-CN"/>
        </w:rPr>
        <w:t>旅游事业。</w:t>
      </w:r>
    </w:p>
    <w:p w14:paraId="0A7BA2A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7A477A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该项目资金主要用于垃圾填埋场热解气化站运营费用。</w:t>
      </w:r>
    </w:p>
    <w:p w14:paraId="40C66FEC">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预算安排及分配管理</w:t>
      </w:r>
      <w:r>
        <w:rPr>
          <w:rFonts w:hint="eastAsia" w:ascii="仿宋_GB2312" w:hAnsi="仿宋_GB2312" w:eastAsia="仿宋_GB2312" w:cs="仿宋_GB2312"/>
          <w:b/>
          <w:sz w:val="32"/>
          <w:szCs w:val="32"/>
          <w:lang w:val="zh-CN"/>
        </w:rPr>
        <w:t>。</w:t>
      </w:r>
    </w:p>
    <w:p w14:paraId="4ED55DF4">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54718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402万元，批复金额为402万元，实际使用金额376万元，项目资金符合资金管理办法等相关规定。资金按批复金额在项目实施前全部到位，与资金计划相契合，资金到位率、到位及时性均为100%，保障项目能够如期开展。</w:t>
      </w:r>
    </w:p>
    <w:p w14:paraId="504EEF25">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4B7088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65D3EF5A">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39A6D8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项目总预算资金为402万元，来源为县级财政专项资金，预算资金分配充分，资金分配额度合理，与项目单位实际相适应。 目前项目资金已全部支出，支付范围为运</w:t>
      </w:r>
      <w:r>
        <w:rPr>
          <w:rFonts w:hint="eastAsia" w:ascii="仿宋_GB2312" w:hAnsi="仿宋_GB2312" w:eastAsia="仿宋_GB2312" w:cs="仿宋_GB2312"/>
          <w:kern w:val="0"/>
          <w:sz w:val="32"/>
          <w:szCs w:val="32"/>
          <w:lang w:val="zh-CN" w:eastAsia="zh-CN"/>
        </w:rPr>
        <w:t>营管理一座处理规模50吨/天的生活垃圾热解气化站；运营管理五座垃圾中转站</w:t>
      </w:r>
      <w:r>
        <w:rPr>
          <w:rFonts w:hint="eastAsia" w:ascii="仿宋_GB2312" w:hAnsi="仿宋_GB2312" w:eastAsia="仿宋_GB2312" w:cs="仿宋_GB2312"/>
          <w:kern w:val="0"/>
          <w:sz w:val="32"/>
          <w:szCs w:val="32"/>
          <w:lang w:val="en-US" w:eastAsia="zh-CN"/>
        </w:rPr>
        <w:t>，支付依据合规合法，与预算相符。</w:t>
      </w:r>
    </w:p>
    <w:p w14:paraId="1F602764">
      <w:pPr>
        <w:adjustRightInd w:val="0"/>
        <w:snapToGrid w:val="0"/>
        <w:spacing w:line="578" w:lineRule="exact"/>
        <w:ind w:firstLine="643" w:firstLineChars="2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（四）项目绩效目标设置。</w:t>
      </w:r>
    </w:p>
    <w:p w14:paraId="423FA3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US" w:eastAsia="zh-CN"/>
        </w:rPr>
        <w:t>为了落实环保督察反馈问题整改保证黑水县城乡</w:t>
      </w:r>
      <w:r>
        <w:rPr>
          <w:rFonts w:hint="eastAsia" w:ascii="仿宋_GB2312" w:hAnsi="仿宋_GB2312" w:eastAsia="仿宋_GB2312" w:cs="仿宋_GB2312"/>
          <w:kern w:val="0"/>
          <w:sz w:val="32"/>
          <w:szCs w:val="32"/>
          <w:lang w:val="en" w:eastAsia="zh-CN"/>
        </w:rPr>
        <w:t>生活垃圾处理中心（垃圾填埋场、热解气化站）</w:t>
      </w:r>
      <w:r>
        <w:rPr>
          <w:rFonts w:hint="eastAsia" w:ascii="仿宋_GB2312" w:hAnsi="仿宋_GB2312" w:eastAsia="仿宋_GB2312" w:cs="仿宋_GB2312"/>
          <w:kern w:val="0"/>
          <w:sz w:val="32"/>
          <w:szCs w:val="32"/>
          <w:lang w:val="en-US" w:eastAsia="zh-CN"/>
        </w:rPr>
        <w:t>正常使用和安全运行，以提高效率，降低成本达到生活垃圾无害化处理的目的。</w:t>
      </w:r>
      <w:r>
        <w:rPr>
          <w:rFonts w:hint="eastAsia" w:ascii="仿宋_GB2312" w:hAnsi="仿宋_GB2312" w:eastAsia="仿宋_GB2312" w:cs="仿宋_GB2312"/>
          <w:kern w:val="0"/>
          <w:sz w:val="32"/>
          <w:szCs w:val="32"/>
          <w:lang w:val="en" w:eastAsia="zh-CN"/>
        </w:rPr>
        <w:t>实现生活垃圾填埋服务，对城区环境卫生综合整治等工作进行统一部署，确保城市干净整洁，确保我县</w:t>
      </w:r>
      <w:r>
        <w:rPr>
          <w:rFonts w:hint="eastAsia" w:ascii="仿宋_GB2312" w:hAnsi="仿宋_GB2312" w:eastAsia="仿宋_GB2312" w:cs="仿宋_GB2312"/>
          <w:kern w:val="0"/>
          <w:sz w:val="32"/>
          <w:szCs w:val="32"/>
          <w:lang w:val="en-US" w:eastAsia="zh-CN"/>
        </w:rPr>
        <w:t>城乡</w:t>
      </w:r>
      <w:r>
        <w:rPr>
          <w:rFonts w:hint="eastAsia" w:ascii="仿宋_GB2312" w:hAnsi="仿宋_GB2312" w:eastAsia="仿宋_GB2312" w:cs="仿宋_GB2312"/>
          <w:kern w:val="0"/>
          <w:sz w:val="32"/>
          <w:szCs w:val="32"/>
          <w:lang w:val="en" w:eastAsia="zh-CN"/>
        </w:rPr>
        <w:t>生活垃圾处理中心（垃圾填埋场、热解气化站）通过环保检查。</w:t>
      </w:r>
    </w:p>
    <w:p w14:paraId="31899C57">
      <w:pPr>
        <w:adjustRightInd w:val="0"/>
        <w:snapToGrid w:val="0"/>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二、评价实施</w:t>
      </w:r>
    </w:p>
    <w:p w14:paraId="12348949">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1BF019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2025年州级部门绩效自评工作的通知》（阿州财监绩〔2025〕4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57D04EEF">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36B46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本次评价主要针对该项目的规划编制的内容完整性和项目实施工作的质量问题，结合该项目资金的使用情况来完整的体现。</w:t>
      </w:r>
    </w:p>
    <w:p w14:paraId="670F2B23">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059C6B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垃圾填埋场热解气化站运营经费项目主要开展工作地点为黑水县，本次绩效评价主体为黑水县财政局，项目不涉及其他点位。</w:t>
      </w:r>
    </w:p>
    <w:p w14:paraId="0997E633">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（四）评价方法。</w:t>
      </w:r>
    </w:p>
    <w:p w14:paraId="5DD82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14:paraId="5644FE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1.比较分析法。是指通过对绩效目标与实施效果、历史与当期情况、不同部门和地区同类支出的比较，综合分析绩效目标实现程度。</w:t>
      </w:r>
    </w:p>
    <w:p w14:paraId="084A55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2.因素分析法。是指通过综合分析影响绩效目标实现、实施效果的内外因素，评价绩效目标实现程度。</w:t>
      </w:r>
    </w:p>
    <w:p w14:paraId="61491A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3.最低成本分析法。是指对效益确定却不易计量的多个同类对象的实施成本进行比较，评价绩效目标实现程度。</w:t>
      </w:r>
    </w:p>
    <w:p w14:paraId="09E89E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4.双重交叉分析法。通过对项目建设前后的比较，根据成效等方面去寻找和分析政策产生的影响。</w:t>
      </w:r>
    </w:p>
    <w:p w14:paraId="3C1B3B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5.随机访谈法。针对部分项目负责人及实施主体进行了询问和访谈，如项目实施情况的必要性、可行性和满意度等进行随机访谈。</w:t>
      </w:r>
    </w:p>
    <w:p w14:paraId="638869C4">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7120CE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1.领导小组职责：</w:t>
      </w:r>
    </w:p>
    <w:p w14:paraId="1B3736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（1）研究和决定同级政府公共事业管理绩效评价中的重大问题。</w:t>
      </w:r>
    </w:p>
    <w:p w14:paraId="0E6147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（2）组织协调绩效评价工作，确保评价的顺利进行。</w:t>
      </w:r>
    </w:p>
    <w:p w14:paraId="6BEEC0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（3）对各单位的工作目标、绩效考核结果和等次、奖惩方案进行审核，并报同级党委和政府审定。</w:t>
      </w:r>
    </w:p>
    <w:p w14:paraId="733F9B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2.办公室职责：</w:t>
      </w:r>
    </w:p>
    <w:p w14:paraId="77D429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（1）提出全省（市、县）政府公共事业管理绩效评价的工作方案，并负责具体组织实施。</w:t>
      </w:r>
    </w:p>
    <w:p w14:paraId="7AE6BD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（2）综合评价信息，提出评价结果等次认定方案及奖惩方案等。</w:t>
      </w:r>
    </w:p>
    <w:p w14:paraId="28C887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（3）负责绩效评价的日常工作，包括宣传、沟通、协调等。</w:t>
      </w:r>
    </w:p>
    <w:p w14:paraId="2BA211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（4）根据评价结果撰写绩效评价报告，并递交给领导小组。</w:t>
      </w:r>
    </w:p>
    <w:p w14:paraId="1E677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3.具体执行人员职责：</w:t>
      </w:r>
    </w:p>
    <w:p w14:paraId="7EF1D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（1）组长：审批绩效自评方案，监督、检查、核实绩效自评结果。</w:t>
      </w:r>
    </w:p>
    <w:p w14:paraId="10AE33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（2）副组长：审核修改拟定的绩效自评方案，并提交考评工作组会议讨论通过；监督、部署、确认绩效自评过程及反馈意见的处理。</w:t>
      </w:r>
    </w:p>
    <w:p w14:paraId="42433C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43859EC0">
      <w:pPr>
        <w:adjustRightInd w:val="0"/>
        <w:snapToGrid w:val="0"/>
        <w:spacing w:line="578"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三、绩效分析</w:t>
      </w:r>
      <w:r>
        <w:rPr>
          <w:rFonts w:hint="eastAsia" w:ascii="仿宋_GB2312" w:hAnsi="仿宋_GB2312" w:eastAsia="仿宋_GB2312" w:cs="仿宋_GB2312"/>
          <w:sz w:val="32"/>
          <w:szCs w:val="32"/>
          <w:lang w:val="zh-CN"/>
        </w:rPr>
        <w:tab/>
      </w:r>
    </w:p>
    <w:p w14:paraId="07BD2D34">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550DFC56">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1956070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（1）决策程序</w:t>
      </w:r>
    </w:p>
    <w:p w14:paraId="43DABA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项目设立、调整延续等方面符合资金管理基本规范和决策程序要求，该项指标得分6分。</w:t>
      </w:r>
    </w:p>
    <w:p w14:paraId="7F53CA8A">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（2）规划论证</w:t>
      </w:r>
    </w:p>
    <w:p w14:paraId="376C07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14:paraId="3F5846A6">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（3）资金投向</w:t>
      </w:r>
    </w:p>
    <w:p w14:paraId="468F9C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属于政府支持范围，且符合财政事权支出责任划分规定，资金投向与项目总体规划、相关行业事业发展相匹配，聚焦重大任务、重点领域、重点环节和重点项目，体现“集中力量办大事”原则，避免“撒胡椒面”，未与其他同类项目或部门内部相关项目交叉重复，该项指标得分6分。</w:t>
      </w:r>
    </w:p>
    <w:p w14:paraId="331E8955">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6AC90B5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（1）制度办法</w:t>
      </w:r>
    </w:p>
    <w:p w14:paraId="011F60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资金管理办法等管理制度体系健全完善，不存在管理制度缺失、管理办法过期情况，该项指标得分2分。</w:t>
      </w:r>
    </w:p>
    <w:p w14:paraId="493C746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（2）分配管理</w:t>
      </w:r>
    </w:p>
    <w:p w14:paraId="502EBE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4174B568">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（3）绩效监管</w:t>
      </w:r>
    </w:p>
    <w:p w14:paraId="2E0C4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按中央、省委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5F2B7CCE">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3B3A91C4">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（1）预算执行</w:t>
      </w:r>
    </w:p>
    <w:p w14:paraId="76E6F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财政资金已按照要求拨付完毕，拨付率100%，该项指标得分=财政资金拨付率×100%×6=6分。</w:t>
      </w:r>
    </w:p>
    <w:p w14:paraId="658EF66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（2）资金使用</w:t>
      </w:r>
    </w:p>
    <w:p w14:paraId="052F2C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6C7FA341">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5EB7724D">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（1）目标完成</w:t>
      </w:r>
    </w:p>
    <w:p w14:paraId="385331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项目完成预期目标，实施结果与绩效目标相匹配，该项指标得分6分。</w:t>
      </w:r>
    </w:p>
    <w:p w14:paraId="6383561E">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（2）完成时效</w:t>
      </w:r>
    </w:p>
    <w:p w14:paraId="70390B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项目实际完成时间与计划完成时间相符，该项指标得分3分。</w:t>
      </w:r>
    </w:p>
    <w:p w14:paraId="5E2FF367">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0DE50881">
      <w:pPr>
        <w:adjustRightInd w:val="0"/>
        <w:snapToGrid w:val="0"/>
        <w:spacing w:line="578"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民生保障。</w:t>
      </w:r>
    </w:p>
    <w:p w14:paraId="482326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资金分配科学合理、均衡公平，资金实际支持对象符合管理要求，符合支持对象范围，资金实际补贴标准符合资金管理办法规定的补助标准，及时按标准兑现，民众满意度较高，该项指标得分30分。</w:t>
      </w:r>
    </w:p>
    <w:p w14:paraId="781F14B4">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544F07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项目已如期建成，资金已按期拨付，项目实施后已达到预期效果，该项指标得分16分。</w:t>
      </w:r>
    </w:p>
    <w:p w14:paraId="4601C529">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171CCF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严格按照绩效自评工作要求，秉承客观公正、实事求是的原则开展了垃圾填埋场热解气化站运营经费项目支出绩效自评工作，经对各类指标进行评分和汇总分析，2024年垃圾填埋场热解气化站运营经费项目支出绩效评价综合得分99分。评价结果显示，2024年垃圾填埋场热解气化站运营经费项目按照相关规定进行使用和管理，程序较为规范，项目支出使用效益达到预期。</w:t>
      </w:r>
    </w:p>
    <w:p w14:paraId="70B2B8C4">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4DD308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项目管理相关制度待完善</w:t>
      </w:r>
    </w:p>
    <w:p w14:paraId="1428F2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项目管理制度不健全，不符合县财政局内部控制相关的要求。项目未提供相关项目管理制度，如项目管理等相关内控管理制度，无法考量项目管理制度是否符合上位法和项目实际、项目管理是否符合制度。</w:t>
      </w:r>
    </w:p>
    <w:p w14:paraId="113F3A57">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13755CBC">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bookmarkStart w:id="1" w:name="_Hlk110546638"/>
      <w:r>
        <w:rPr>
          <w:rFonts w:hint="eastAsia" w:ascii="仿宋_GB2312" w:hAnsi="仿宋_GB2312" w:eastAsia="仿宋_GB2312" w:cs="仿宋_GB2312"/>
          <w:kern w:val="0"/>
          <w:sz w:val="32"/>
          <w:szCs w:val="32"/>
          <w:lang w:val="en-US" w:eastAsia="zh-CN"/>
        </w:rPr>
        <w:t>完善相关项目管理制度</w:t>
      </w:r>
    </w:p>
    <w:p w14:paraId="5175A4B3">
      <w:pPr>
        <w:adjustRightInd w:val="0"/>
        <w:snapToGrid w:val="0"/>
        <w:spacing w:line="578"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建议项目单位按照县财政局对内部控制的要求，加强项目管理相关的内控制度建设，对项目管理配套的内部管理相关制度进行完善，进一步提高项目管理的内部控制，为项目实施和完成提供保障。</w:t>
      </w:r>
    </w:p>
    <w:p w14:paraId="477EECC2">
      <w:pPr>
        <w:tabs>
          <w:tab w:val="left" w:pos="1911"/>
        </w:tabs>
        <w:jc w:val="left"/>
        <w:rPr>
          <w:rFonts w:hint="eastAsia" w:ascii="仿宋_GB2312" w:hAnsi="仿宋_GB2312" w:eastAsia="仿宋_GB2312" w:cs="仿宋_GB2312"/>
          <w:kern w:val="0"/>
          <w:sz w:val="32"/>
          <w:szCs w:val="32"/>
          <w:lang w:val="en"/>
        </w:rPr>
      </w:pPr>
    </w:p>
    <w:bookmarkEnd w:id="1"/>
    <w:p w14:paraId="2FC1FEA1">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附表：1.专项预算绩效自评打分表</w:t>
      </w:r>
    </w:p>
    <w:p w14:paraId="738BE633">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2.专项预算绩效自评实地踏勘点位清单表</w:t>
      </w:r>
    </w:p>
    <w:p w14:paraId="2C3929C3">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3.专项预算项目绩效目标完成情况自评表</w:t>
      </w:r>
    </w:p>
    <w:p w14:paraId="7C414F6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C304DC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73A079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563B96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651DAD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08166C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7A418F0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406D125">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6EEBB9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87C0FAD">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7846C1C">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70431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5E6740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65E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06978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06D954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6F65F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60F5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22F15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C45C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90EF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6E46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3D8EE8C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6C9BDF7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091C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449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F79C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0456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CC54E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BC51C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0BDE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3B64E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15D0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50F97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6AEB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A5584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E383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8D9D5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eastAsia" w:ascii="仿宋_GB2312" w:hAnsi="仿宋_GB2312" w:eastAsia="仿宋_GB2312" w:cs="仿宋_GB2312"/>
                <w:kern w:val="0"/>
                <w:sz w:val="32"/>
                <w:szCs w:val="32"/>
                <w:lang w:val="en-US" w:eastAsia="zh-CN"/>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E5DD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2D43A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C809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324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559C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BBA0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FD429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73F9E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1B23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F1B08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DAF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3BDF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F0E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185A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99DAD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622B6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DABA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1E557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BD2C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40E1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C874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37383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78C8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4A3C9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6E82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28A2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0254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BD7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F7A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9B1F9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75EA7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37778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50DA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FCB32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6CA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69F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C536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3A98B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B4C1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5328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2F875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504F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C2C5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0440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82B6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353B4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D970F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7779D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E914F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BA88D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011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8160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1A33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468A9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16377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A630F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F8A6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26CB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A206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F95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D0A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9A1D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A180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9B556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B6340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AA5B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5DA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CB8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72A8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E2940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B0DD9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6EFF3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3F13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10DF4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F62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E39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0798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FE346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53229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0649D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5E3C2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7051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0724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F658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3B63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BC38E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2131D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33F12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2BFA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7B5A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BE9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3A5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232A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8B96C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45D1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ECEF8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377AA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16EE1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1E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68C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E2186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1755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48957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091BC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C5A0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F2BE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51F5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14F1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B8E5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5285C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8660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2B61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9D39C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1078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7F7F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C79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9BF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4A512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356A8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DB57A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4A4C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2C66C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0461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2D14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9C37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47AF36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18051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21599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1B34D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5A503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2555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417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C10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82B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02B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2B66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07F94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584D8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A1001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7C32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7D8D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4276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8F27A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1E11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50A6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8C30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361DA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B4904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3C47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EB04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28F38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24E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4704C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4826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F716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84EBD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9DE29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D4178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19B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A9E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BE76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C482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8936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9105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8CBC4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D96B6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28324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178B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58BF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D8F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0D2DE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5B1F0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392ED3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79A9BD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43EB4B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FBB4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553B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FB75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739F5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4B6D9C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D3621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BCFBF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75CC4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04F9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011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13E8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790F04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45A02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97BC8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2182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F57E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8DB3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36B26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CF19F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911F50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2EAFD1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9208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E796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C7E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C986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10F9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F45D7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B8D38B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CC1BA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BCE9A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1AB5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C626F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9DA1F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F8CB5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B324E1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E2EC0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E178BE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4F0D7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044BE1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455FC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ED882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BC0A1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BE453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96EAB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7A6DA794">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6BDD57BD">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3736318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38BB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3C1AB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4CC5EE0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06FF1C3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2B3E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93338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3412CCD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23B38BF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E96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1F619A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7E64E32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218C1EA">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2D2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03E9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419F950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D073B3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128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B972C3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6EA855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3E06CDF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96A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071457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4D61709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E03BA4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916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871A00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584E5ED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AF5C8B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0E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C8A86E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7C24335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78C5EC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8A3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3B4390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1289B67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17F6A02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094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D6A05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77202A6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B11D50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E8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7A6AE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516679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A9B6DE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44A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6563C9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71ABBEF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B2255B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F2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4D7E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47C4E03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067FAA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E59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0EFB1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5E8364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C47DFC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55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A6CEBC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CB8C1A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532BCB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53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8C582A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407BB71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7A8DFE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FCC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E5E7DF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628CCA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318A97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37B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C329BB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760C28F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395AD1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9B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586D9D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00CD5A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F6D995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889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2FDBA4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72ADBD3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7FCB0FF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66E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16970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5361187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57FDCD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19F4BE44">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79AFB7E4">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A809D9F">
      <w:pPr>
        <w:rPr>
          <w:rFonts w:ascii="仿宋_GB2312" w:hAnsi="仿宋_GB2312" w:cs="仿宋_GB2312"/>
          <w:kern w:val="0"/>
        </w:rPr>
      </w:pPr>
    </w:p>
    <w:p w14:paraId="10C2D50C">
      <w:pPr>
        <w:rPr>
          <w:rFonts w:ascii="仿宋_GB2312" w:hAnsi="仿宋_GB2312" w:cs="仿宋_GB2312"/>
          <w:kern w:val="0"/>
        </w:rPr>
      </w:pPr>
    </w:p>
    <w:p w14:paraId="1249AB86">
      <w:pPr>
        <w:rPr>
          <w:rFonts w:ascii="仿宋_GB2312" w:hAnsi="仿宋_GB2312" w:cs="仿宋_GB2312"/>
          <w:kern w:val="0"/>
        </w:rPr>
      </w:pPr>
    </w:p>
    <w:p w14:paraId="58D799A3">
      <w:pPr>
        <w:rPr>
          <w:rFonts w:ascii="仿宋_GB2312" w:hAnsi="仿宋_GB2312" w:cs="仿宋_GB2312"/>
          <w:kern w:val="0"/>
        </w:rPr>
      </w:pPr>
    </w:p>
    <w:p w14:paraId="1EB65A94">
      <w:pPr>
        <w:rPr>
          <w:rFonts w:ascii="仿宋_GB2312" w:hAnsi="仿宋_GB2312" w:cs="仿宋_GB2312"/>
          <w:kern w:val="0"/>
        </w:rPr>
      </w:pPr>
    </w:p>
    <w:p w14:paraId="72175EB6">
      <w:pPr>
        <w:rPr>
          <w:rFonts w:ascii="仿宋_GB2312" w:hAnsi="仿宋_GB2312" w:cs="仿宋_GB2312"/>
          <w:kern w:val="0"/>
        </w:rPr>
      </w:pPr>
    </w:p>
    <w:p w14:paraId="612A83B0">
      <w:pPr>
        <w:rPr>
          <w:rFonts w:ascii="仿宋_GB2312" w:hAnsi="仿宋_GB2312" w:cs="仿宋_GB2312"/>
          <w:kern w:val="0"/>
        </w:rPr>
      </w:pPr>
    </w:p>
    <w:p w14:paraId="562E239A">
      <w:pPr>
        <w:pStyle w:val="2"/>
        <w:rPr>
          <w:rFonts w:ascii="仿宋_GB2312" w:hAnsi="仿宋_GB2312" w:cs="仿宋_GB2312"/>
          <w:kern w:val="0"/>
        </w:rPr>
      </w:pPr>
    </w:p>
    <w:p w14:paraId="0026E3E0">
      <w:pPr>
        <w:rPr>
          <w:rFonts w:ascii="仿宋_GB2312" w:hAnsi="仿宋_GB2312" w:cs="仿宋_GB2312"/>
          <w:kern w:val="0"/>
        </w:rPr>
      </w:pPr>
    </w:p>
    <w:p w14:paraId="2B197FA8">
      <w:pPr>
        <w:pStyle w:val="2"/>
        <w:rPr>
          <w:rFonts w:ascii="仿宋_GB2312" w:hAnsi="仿宋_GB2312" w:cs="仿宋_GB2312"/>
          <w:kern w:val="0"/>
        </w:rPr>
      </w:pPr>
    </w:p>
    <w:p w14:paraId="3EE85DDC">
      <w:pPr>
        <w:rPr>
          <w:rFonts w:ascii="仿宋_GB2312" w:hAnsi="仿宋_GB2312" w:cs="仿宋_GB2312"/>
          <w:kern w:val="0"/>
        </w:rPr>
      </w:pPr>
    </w:p>
    <w:p w14:paraId="4334E6A3">
      <w:pPr>
        <w:pStyle w:val="2"/>
      </w:pPr>
    </w:p>
    <w:tbl>
      <w:tblPr>
        <w:tblStyle w:val="9"/>
        <w:tblpPr w:leftFromText="180" w:rightFromText="180" w:vertAnchor="text" w:horzAnchor="page" w:tblpX="772" w:tblpY="27"/>
        <w:tblOverlap w:val="never"/>
        <w:tblW w:w="10641" w:type="dxa"/>
        <w:tblInd w:w="0" w:type="dxa"/>
        <w:tblLayout w:type="fixed"/>
        <w:tblCellMar>
          <w:top w:w="15" w:type="dxa"/>
          <w:left w:w="15" w:type="dxa"/>
          <w:bottom w:w="15" w:type="dxa"/>
          <w:right w:w="15" w:type="dxa"/>
        </w:tblCellMar>
      </w:tblPr>
      <w:tblGrid>
        <w:gridCol w:w="652"/>
        <w:gridCol w:w="1081"/>
        <w:gridCol w:w="1661"/>
        <w:gridCol w:w="2836"/>
        <w:gridCol w:w="899"/>
        <w:gridCol w:w="676"/>
        <w:gridCol w:w="612"/>
        <w:gridCol w:w="763"/>
        <w:gridCol w:w="1461"/>
      </w:tblGrid>
      <w:tr w14:paraId="6A0611CE">
        <w:tblPrEx>
          <w:tblCellMar>
            <w:top w:w="15" w:type="dxa"/>
            <w:left w:w="15" w:type="dxa"/>
            <w:bottom w:w="15" w:type="dxa"/>
            <w:right w:w="15" w:type="dxa"/>
          </w:tblCellMar>
        </w:tblPrEx>
        <w:trPr>
          <w:trHeight w:val="576" w:hRule="atLeast"/>
        </w:trPr>
        <w:tc>
          <w:tcPr>
            <w:tcW w:w="10641" w:type="dxa"/>
            <w:gridSpan w:val="9"/>
            <w:noWrap w:val="0"/>
            <w:vAlign w:val="center"/>
          </w:tcPr>
          <w:p w14:paraId="51ED22B7">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lang w:bidi="ar"/>
              </w:rPr>
              <w:t>专项预算项目绩效目标完成情况自评表</w:t>
            </w:r>
          </w:p>
        </w:tc>
      </w:tr>
      <w:tr w14:paraId="0DBD5EDF">
        <w:tblPrEx>
          <w:tblCellMar>
            <w:top w:w="15" w:type="dxa"/>
            <w:left w:w="15" w:type="dxa"/>
            <w:bottom w:w="15" w:type="dxa"/>
            <w:right w:w="15" w:type="dxa"/>
          </w:tblCellMar>
        </w:tblPrEx>
        <w:trPr>
          <w:trHeight w:val="23" w:hRule="atLeast"/>
        </w:trPr>
        <w:tc>
          <w:tcPr>
            <w:tcW w:w="6230" w:type="dxa"/>
            <w:gridSpan w:val="4"/>
            <w:tcBorders>
              <w:top w:val="single" w:color="000000" w:sz="4" w:space="0"/>
              <w:left w:val="single" w:color="000000" w:sz="4" w:space="0"/>
              <w:bottom w:val="single" w:color="000000" w:sz="4" w:space="0"/>
              <w:right w:val="single" w:color="000000" w:sz="4" w:space="0"/>
            </w:tcBorders>
            <w:noWrap w:val="0"/>
            <w:vAlign w:val="center"/>
          </w:tcPr>
          <w:p w14:paraId="27629CCC">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项目名称</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4C70C8CC">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eastAsia="zh-CN" w:bidi="ar"/>
              </w:rPr>
              <w:t>垃圾填埋场热解气化站运营经费项目</w:t>
            </w:r>
          </w:p>
        </w:tc>
      </w:tr>
      <w:tr w14:paraId="02D9DE72">
        <w:tblPrEx>
          <w:tblCellMar>
            <w:top w:w="15" w:type="dxa"/>
            <w:left w:w="15" w:type="dxa"/>
            <w:bottom w:w="15" w:type="dxa"/>
            <w:right w:w="15" w:type="dxa"/>
          </w:tblCellMar>
        </w:tblPrEx>
        <w:trPr>
          <w:trHeight w:val="23" w:hRule="atLeast"/>
        </w:trPr>
        <w:tc>
          <w:tcPr>
            <w:tcW w:w="6230" w:type="dxa"/>
            <w:gridSpan w:val="4"/>
            <w:tcBorders>
              <w:top w:val="single" w:color="000000" w:sz="4" w:space="0"/>
              <w:left w:val="single" w:color="000000" w:sz="4" w:space="0"/>
              <w:bottom w:val="single" w:color="000000" w:sz="4" w:space="0"/>
              <w:right w:val="single" w:color="000000" w:sz="4" w:space="0"/>
            </w:tcBorders>
            <w:noWrap w:val="0"/>
            <w:vAlign w:val="center"/>
          </w:tcPr>
          <w:p w14:paraId="27720480">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预算单位</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741CB8A7">
            <w:pPr>
              <w:widowControl/>
              <w:spacing w:line="300" w:lineRule="exact"/>
              <w:jc w:val="left"/>
              <w:textAlignment w:val="center"/>
              <w:rPr>
                <w:rFonts w:hint="eastAsia"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eastAsia="zh-CN" w:bidi="ar"/>
              </w:rPr>
              <w:t>黑水县市政公用服务中心</w:t>
            </w:r>
          </w:p>
        </w:tc>
      </w:tr>
      <w:tr w14:paraId="5C86B511">
        <w:tblPrEx>
          <w:tblCellMar>
            <w:top w:w="15" w:type="dxa"/>
            <w:left w:w="15" w:type="dxa"/>
            <w:bottom w:w="15" w:type="dxa"/>
            <w:right w:w="15" w:type="dxa"/>
          </w:tblCellMar>
        </w:tblPrEx>
        <w:trPr>
          <w:trHeight w:val="23" w:hRule="atLeast"/>
        </w:trPr>
        <w:tc>
          <w:tcPr>
            <w:tcW w:w="6230" w:type="dxa"/>
            <w:gridSpan w:val="4"/>
            <w:tcBorders>
              <w:top w:val="single" w:color="000000" w:sz="4" w:space="0"/>
              <w:left w:val="single" w:color="000000" w:sz="4" w:space="0"/>
              <w:bottom w:val="single" w:color="000000" w:sz="4" w:space="0"/>
              <w:right w:val="single" w:color="000000" w:sz="4" w:space="0"/>
            </w:tcBorders>
            <w:noWrap w:val="0"/>
            <w:vAlign w:val="center"/>
          </w:tcPr>
          <w:p w14:paraId="4E37A3EB">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项目类型</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154560BB">
            <w:pPr>
              <w:widowControl/>
              <w:spacing w:line="300" w:lineRule="exact"/>
              <w:jc w:val="left"/>
              <w:textAlignment w:val="center"/>
              <w:rPr>
                <w:rFonts w:hint="eastAsia" w:eastAsia="仿宋_GB2312"/>
                <w:szCs w:val="28"/>
                <w:lang w:eastAsia="zh-CN"/>
              </w:rPr>
            </w:pPr>
            <w:r>
              <w:rPr>
                <w:rFonts w:hint="eastAsia" w:ascii="宋体" w:hAnsi="宋体" w:eastAsia="宋体" w:cs="宋体"/>
                <w:color w:val="000000"/>
                <w:kern w:val="0"/>
                <w:sz w:val="24"/>
                <w:szCs w:val="24"/>
                <w:lang w:eastAsia="zh-CN" w:bidi="ar"/>
              </w:rPr>
              <w:t>经常性项目</w:t>
            </w:r>
          </w:p>
        </w:tc>
      </w:tr>
      <w:tr w14:paraId="4A51023D">
        <w:tblPrEx>
          <w:tblCellMar>
            <w:top w:w="15" w:type="dxa"/>
            <w:left w:w="15" w:type="dxa"/>
            <w:bottom w:w="15" w:type="dxa"/>
            <w:right w:w="15" w:type="dxa"/>
          </w:tblCellMar>
        </w:tblPrEx>
        <w:trPr>
          <w:trHeight w:val="485"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E44CF42">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 概况</w:t>
            </w: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76E11383">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中长期规划（名称、文号，仅指常年项目）</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707CA155">
            <w:pPr>
              <w:spacing w:line="300" w:lineRule="exact"/>
              <w:jc w:val="left"/>
              <w:rPr>
                <w:rFonts w:hint="eastAsia" w:ascii="宋体" w:hAnsi="宋体" w:eastAsia="宋体" w:cs="宋体"/>
                <w:color w:val="000000"/>
                <w:sz w:val="24"/>
                <w:szCs w:val="24"/>
              </w:rPr>
            </w:pPr>
            <w:r>
              <w:rPr>
                <w:rFonts w:hint="eastAsia" w:ascii="宋体" w:hAnsi="宋体" w:eastAsia="宋体" w:cs="宋体"/>
                <w:color w:val="000000"/>
                <w:sz w:val="24"/>
                <w:szCs w:val="24"/>
              </w:rPr>
              <w:t>无</w:t>
            </w:r>
          </w:p>
        </w:tc>
      </w:tr>
      <w:tr w14:paraId="75974E56">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54158C">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792AAB38">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资金管理办法（名称、文号）</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50F768D4">
            <w:pPr>
              <w:spacing w:line="300" w:lineRule="exact"/>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无</w:t>
            </w:r>
          </w:p>
        </w:tc>
      </w:tr>
      <w:tr w14:paraId="67C27DBE">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554203">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0148CA55">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绩效分配方式</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507A5E44">
            <w:pPr>
              <w:widowControl/>
              <w:spacing w:line="300" w:lineRule="exact"/>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因素法</w:t>
            </w:r>
          </w:p>
        </w:tc>
        <w:tc>
          <w:tcPr>
            <w:tcW w:w="1288" w:type="dxa"/>
            <w:gridSpan w:val="2"/>
            <w:tcBorders>
              <w:top w:val="single" w:color="000000" w:sz="4" w:space="0"/>
              <w:left w:val="single" w:color="000000" w:sz="4" w:space="0"/>
              <w:bottom w:val="single" w:color="000000" w:sz="4" w:space="0"/>
              <w:right w:val="single" w:color="000000" w:sz="4" w:space="0"/>
            </w:tcBorders>
            <w:noWrap w:val="0"/>
            <w:vAlign w:val="center"/>
          </w:tcPr>
          <w:p w14:paraId="163DEA05">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£项目法</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5B01323">
            <w:pPr>
              <w:widowControl/>
              <w:spacing w:line="300" w:lineRule="exact"/>
              <w:jc w:val="center"/>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据实据效</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36641D0C">
            <w:pPr>
              <w:widowControl/>
              <w:spacing w:line="300" w:lineRule="exact"/>
              <w:jc w:val="center"/>
              <w:textAlignment w:val="center"/>
              <w:rPr>
                <w:rFonts w:ascii="Wingdings 2" w:hAnsi="Wingdings 2" w:eastAsia="Wingdings 2" w:cs="Wingdings 2"/>
                <w:color w:val="000000"/>
                <w:sz w:val="24"/>
                <w:szCs w:val="24"/>
              </w:rPr>
            </w:pPr>
            <w:r>
              <w:rPr>
                <w:rFonts w:hint="default" w:ascii="Arial" w:hAnsi="Arial" w:eastAsia="宋体" w:cs="Arial"/>
                <w:color w:val="000000"/>
                <w:kern w:val="0"/>
                <w:sz w:val="24"/>
                <w:szCs w:val="24"/>
                <w:lang w:bidi="ar"/>
              </w:rPr>
              <w:t>√</w:t>
            </w:r>
            <w:r>
              <w:rPr>
                <w:rFonts w:ascii="宋体" w:hAnsi="宋体" w:eastAsia="宋体" w:cs="宋体"/>
                <w:color w:val="000000"/>
                <w:kern w:val="0"/>
                <w:sz w:val="24"/>
                <w:szCs w:val="24"/>
                <w:lang w:bidi="ar"/>
              </w:rPr>
              <w:t>因素法与项目法相结合</w:t>
            </w:r>
          </w:p>
        </w:tc>
      </w:tr>
      <w:tr w14:paraId="21691447">
        <w:tblPrEx>
          <w:tblCellMar>
            <w:top w:w="15" w:type="dxa"/>
            <w:left w:w="15" w:type="dxa"/>
            <w:bottom w:w="15" w:type="dxa"/>
            <w:right w:w="15" w:type="dxa"/>
          </w:tblCellMar>
        </w:tblPrEx>
        <w:trPr>
          <w:trHeight w:val="1670"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F06AC">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10E9D4BE">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立项依据</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4F3133FC">
            <w:pPr>
              <w:widowControl/>
              <w:spacing w:line="300" w:lineRule="exact"/>
              <w:jc w:val="left"/>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bidi="ar"/>
              </w:rPr>
              <w:t>随着城市化进程的加快和居民生活水平的提高，垃圾产生量不断增加，传统的垃圾处理方式已经难以满足需求。垃圾填埋场热解气化站作为一种新型、高效的垃圾处理方式，具有广阔的市场前景和需求空间。</w:t>
            </w:r>
          </w:p>
        </w:tc>
      </w:tr>
      <w:tr w14:paraId="47371032">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5A17E">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51F1E6BE">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使用范围</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4CD9735D">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val="en-US" w:eastAsia="zh-CN" w:bidi="ar"/>
              </w:rPr>
              <w:t>该项目资金主要用于垃圾填埋场热解气化站运营费用。</w:t>
            </w:r>
          </w:p>
        </w:tc>
      </w:tr>
      <w:tr w14:paraId="31BE3750">
        <w:tblPrEx>
          <w:tblCellMar>
            <w:top w:w="15" w:type="dxa"/>
            <w:left w:w="15" w:type="dxa"/>
            <w:bottom w:w="15" w:type="dxa"/>
            <w:right w:w="15" w:type="dxa"/>
          </w:tblCellMar>
        </w:tblPrEx>
        <w:trPr>
          <w:trHeight w:val="350"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95808">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1A029E13">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申报（补助）条件</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0F57F420">
            <w:pPr>
              <w:spacing w:line="300" w:lineRule="exact"/>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无。</w:t>
            </w:r>
          </w:p>
        </w:tc>
      </w:tr>
      <w:tr w14:paraId="363E5A28">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546CE1">
            <w:pPr>
              <w:spacing w:line="300" w:lineRule="exact"/>
              <w:rPr>
                <w:rFonts w:hint="eastAsia" w:ascii="宋体" w:hAnsi="宋体" w:eastAsia="宋体" w:cs="宋体"/>
                <w:color w:val="000000"/>
                <w:sz w:val="24"/>
                <w:szCs w:val="24"/>
              </w:rPr>
            </w:pPr>
          </w:p>
        </w:tc>
        <w:tc>
          <w:tcPr>
            <w:tcW w:w="5578" w:type="dxa"/>
            <w:gridSpan w:val="3"/>
            <w:tcBorders>
              <w:top w:val="single" w:color="000000" w:sz="4" w:space="0"/>
              <w:left w:val="single" w:color="000000" w:sz="4" w:space="0"/>
              <w:bottom w:val="single" w:color="000000" w:sz="4" w:space="0"/>
              <w:right w:val="single" w:color="000000" w:sz="4" w:space="0"/>
            </w:tcBorders>
            <w:noWrap w:val="0"/>
            <w:vAlign w:val="center"/>
          </w:tcPr>
          <w:p w14:paraId="0372A80A">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项目起止年限</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4A48FB20">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8</w:t>
            </w:r>
            <w:r>
              <w:rPr>
                <w:rFonts w:hint="eastAsia" w:eastAsia="宋体"/>
                <w:color w:val="000000"/>
                <w:kern w:val="0"/>
                <w:sz w:val="24"/>
                <w:szCs w:val="24"/>
                <w:lang w:bidi="ar"/>
              </w:rPr>
              <w:t>月至</w:t>
            </w:r>
            <w:r>
              <w:rPr>
                <w:rFonts w:eastAsia="宋体"/>
                <w:color w:val="000000"/>
                <w:kern w:val="0"/>
                <w:sz w:val="24"/>
                <w:szCs w:val="24"/>
                <w:lang w:bidi="ar"/>
              </w:rPr>
              <w:t>20</w:t>
            </w:r>
            <w:r>
              <w:rPr>
                <w:rFonts w:hint="eastAsia" w:eastAsia="宋体"/>
                <w:color w:val="000000"/>
                <w:kern w:val="0"/>
                <w:sz w:val="24"/>
                <w:szCs w:val="24"/>
                <w:lang w:val="en-US" w:eastAsia="zh-CN" w:bidi="ar"/>
              </w:rPr>
              <w:t>25</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7</w:t>
            </w:r>
            <w:r>
              <w:rPr>
                <w:rFonts w:hint="eastAsia" w:eastAsia="宋体"/>
                <w:color w:val="000000"/>
                <w:kern w:val="0"/>
                <w:sz w:val="24"/>
                <w:szCs w:val="24"/>
                <w:lang w:bidi="ar"/>
              </w:rPr>
              <w:t>月</w:t>
            </w:r>
          </w:p>
        </w:tc>
      </w:tr>
      <w:tr w14:paraId="772935A5">
        <w:tblPrEx>
          <w:tblCellMar>
            <w:top w:w="15" w:type="dxa"/>
            <w:left w:w="15" w:type="dxa"/>
            <w:bottom w:w="15" w:type="dxa"/>
            <w:right w:w="15" w:type="dxa"/>
          </w:tblCellMar>
        </w:tblPrEx>
        <w:trPr>
          <w:trHeight w:val="23" w:hRule="atLeast"/>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52FF58">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项目资金</w:t>
            </w:r>
          </w:p>
          <w:p w14:paraId="539F14F4">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（万元）</w:t>
            </w:r>
          </w:p>
        </w:tc>
        <w:tc>
          <w:tcPr>
            <w:tcW w:w="4497" w:type="dxa"/>
            <w:gridSpan w:val="2"/>
            <w:tcBorders>
              <w:top w:val="single" w:color="000000" w:sz="4" w:space="0"/>
              <w:left w:val="single" w:color="000000" w:sz="4" w:space="0"/>
              <w:bottom w:val="single" w:color="000000" w:sz="4" w:space="0"/>
              <w:right w:val="single" w:color="000000" w:sz="4" w:space="0"/>
            </w:tcBorders>
            <w:noWrap w:val="0"/>
            <w:vAlign w:val="center"/>
          </w:tcPr>
          <w:p w14:paraId="2DC6F2E9">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年度资金总额：</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50126519">
            <w:pPr>
              <w:widowControl/>
              <w:spacing w:line="300" w:lineRule="exact"/>
              <w:jc w:val="left"/>
              <w:textAlignment w:val="center"/>
              <w:rPr>
                <w:rFonts w:hint="default" w:ascii="Times New Roman" w:hAnsi="Times New Roman" w:eastAsia="宋体" w:cs="Times New Roman"/>
                <w:color w:val="000000"/>
                <w:kern w:val="0"/>
                <w:sz w:val="24"/>
                <w:szCs w:val="24"/>
                <w:lang w:val="en-US" w:eastAsia="zh-CN" w:bidi="ar"/>
              </w:rPr>
            </w:pPr>
            <w:r>
              <w:rPr>
                <w:rFonts w:hint="eastAsia" w:ascii="Times New Roman" w:hAnsi="Times New Roman" w:eastAsia="宋体" w:cs="Times New Roman"/>
                <w:color w:val="000000"/>
                <w:kern w:val="0"/>
                <w:sz w:val="24"/>
                <w:szCs w:val="24"/>
                <w:lang w:val="en-US" w:eastAsia="zh-CN" w:bidi="ar"/>
              </w:rPr>
              <w:t>376</w:t>
            </w:r>
          </w:p>
        </w:tc>
      </w:tr>
      <w:tr w14:paraId="70EFE627">
        <w:tblPrEx>
          <w:tblCellMar>
            <w:top w:w="15" w:type="dxa"/>
            <w:left w:w="15" w:type="dxa"/>
            <w:bottom w:w="15" w:type="dxa"/>
            <w:right w:w="15" w:type="dxa"/>
          </w:tblCellMar>
        </w:tblPrEx>
        <w:trPr>
          <w:trHeight w:val="23" w:hRule="atLeast"/>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8DCBC0">
            <w:pPr>
              <w:spacing w:line="300" w:lineRule="exact"/>
              <w:rPr>
                <w:rFonts w:hint="eastAsia" w:ascii="宋体" w:hAnsi="宋体" w:eastAsia="宋体" w:cs="宋体"/>
                <w:color w:val="000000"/>
                <w:sz w:val="24"/>
                <w:szCs w:val="24"/>
              </w:rPr>
            </w:pPr>
          </w:p>
        </w:tc>
        <w:tc>
          <w:tcPr>
            <w:tcW w:w="4497" w:type="dxa"/>
            <w:gridSpan w:val="2"/>
            <w:tcBorders>
              <w:top w:val="single" w:color="000000" w:sz="4" w:space="0"/>
              <w:left w:val="single" w:color="000000" w:sz="4" w:space="0"/>
              <w:bottom w:val="single" w:color="000000" w:sz="4" w:space="0"/>
              <w:right w:val="single" w:color="000000" w:sz="4" w:space="0"/>
            </w:tcBorders>
            <w:noWrap w:val="0"/>
            <w:vAlign w:val="center"/>
          </w:tcPr>
          <w:p w14:paraId="0808AAF9">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w:t>
            </w:r>
            <w:r>
              <w:rPr>
                <w:rFonts w:hint="eastAsia" w:ascii="宋体" w:hAnsi="宋体" w:eastAsia="宋体" w:cs="宋体"/>
                <w:color w:val="000000"/>
                <w:kern w:val="0"/>
                <w:sz w:val="24"/>
                <w:szCs w:val="24"/>
                <w:lang w:bidi="ar"/>
              </w:rPr>
              <w:t xml:space="preserve"> </w:t>
            </w:r>
            <w:r>
              <w:rPr>
                <w:rFonts w:ascii="宋体" w:hAnsi="宋体" w:eastAsia="宋体" w:cs="宋体"/>
                <w:color w:val="000000"/>
                <w:kern w:val="0"/>
                <w:sz w:val="24"/>
                <w:szCs w:val="24"/>
                <w:lang w:bidi="ar"/>
              </w:rPr>
              <w:t>其中：财政拨款</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1567F6E4">
            <w:pPr>
              <w:widowControl/>
              <w:spacing w:line="300" w:lineRule="exact"/>
              <w:jc w:val="left"/>
              <w:textAlignment w:val="center"/>
              <w:rPr>
                <w:rFonts w:hint="default" w:ascii="Times New Roman" w:hAnsi="Times New Roman" w:eastAsia="宋体" w:cs="Times New Roman"/>
                <w:color w:val="000000"/>
                <w:kern w:val="0"/>
                <w:sz w:val="24"/>
                <w:szCs w:val="24"/>
                <w:lang w:val="en-US" w:bidi="ar"/>
              </w:rPr>
            </w:pPr>
            <w:r>
              <w:rPr>
                <w:rFonts w:hint="eastAsia" w:ascii="Times New Roman" w:hAnsi="Times New Roman" w:eastAsia="宋体" w:cs="Times New Roman"/>
                <w:color w:val="000000"/>
                <w:kern w:val="0"/>
                <w:sz w:val="24"/>
                <w:szCs w:val="24"/>
                <w:lang w:val="en-US" w:eastAsia="zh-CN" w:bidi="ar"/>
              </w:rPr>
              <w:t>376</w:t>
            </w:r>
          </w:p>
        </w:tc>
      </w:tr>
      <w:tr w14:paraId="437BA2F1">
        <w:tblPrEx>
          <w:tblCellMar>
            <w:top w:w="15" w:type="dxa"/>
            <w:left w:w="15" w:type="dxa"/>
            <w:bottom w:w="15" w:type="dxa"/>
            <w:right w:w="15" w:type="dxa"/>
          </w:tblCellMar>
        </w:tblPrEx>
        <w:trPr>
          <w:trHeight w:val="23" w:hRule="atLeast"/>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6AD8B0">
            <w:pPr>
              <w:spacing w:line="300" w:lineRule="exact"/>
              <w:rPr>
                <w:rFonts w:hint="eastAsia" w:ascii="宋体" w:hAnsi="宋体" w:eastAsia="宋体" w:cs="宋体"/>
                <w:color w:val="000000"/>
                <w:sz w:val="24"/>
                <w:szCs w:val="24"/>
              </w:rPr>
            </w:pPr>
          </w:p>
        </w:tc>
        <w:tc>
          <w:tcPr>
            <w:tcW w:w="4497" w:type="dxa"/>
            <w:gridSpan w:val="2"/>
            <w:tcBorders>
              <w:top w:val="single" w:color="000000" w:sz="4" w:space="0"/>
              <w:left w:val="single" w:color="000000" w:sz="4" w:space="0"/>
              <w:bottom w:val="single" w:color="000000" w:sz="4" w:space="0"/>
              <w:right w:val="single" w:color="000000" w:sz="4" w:space="0"/>
            </w:tcBorders>
            <w:noWrap w:val="0"/>
            <w:vAlign w:val="center"/>
          </w:tcPr>
          <w:p w14:paraId="6A1AA957">
            <w:pPr>
              <w:widowControl/>
              <w:spacing w:line="300" w:lineRule="exact"/>
              <w:jc w:val="left"/>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 xml:space="preserve">            其他资金</w:t>
            </w:r>
          </w:p>
        </w:tc>
        <w:tc>
          <w:tcPr>
            <w:tcW w:w="4411" w:type="dxa"/>
            <w:gridSpan w:val="5"/>
            <w:tcBorders>
              <w:top w:val="single" w:color="000000" w:sz="4" w:space="0"/>
              <w:left w:val="single" w:color="000000" w:sz="4" w:space="0"/>
              <w:bottom w:val="single" w:color="000000" w:sz="4" w:space="0"/>
              <w:right w:val="single" w:color="000000" w:sz="4" w:space="0"/>
            </w:tcBorders>
            <w:noWrap w:val="0"/>
            <w:vAlign w:val="center"/>
          </w:tcPr>
          <w:p w14:paraId="026D57F7">
            <w:pPr>
              <w:widowControl/>
              <w:spacing w:line="300" w:lineRule="exact"/>
              <w:jc w:val="left"/>
              <w:textAlignment w:val="center"/>
              <w:rPr>
                <w:rFonts w:hint="eastAsia" w:ascii="Times New Roman" w:hAnsi="Times New Roman" w:eastAsia="宋体" w:cs="Times New Roman"/>
                <w:color w:val="000000"/>
                <w:kern w:val="0"/>
                <w:sz w:val="24"/>
                <w:szCs w:val="24"/>
                <w:lang w:bidi="ar"/>
              </w:rPr>
            </w:pPr>
            <w:r>
              <w:rPr>
                <w:rFonts w:hint="eastAsia" w:ascii="Times New Roman" w:hAnsi="Times New Roman" w:eastAsia="宋体" w:cs="Times New Roman"/>
                <w:color w:val="000000"/>
                <w:kern w:val="0"/>
                <w:sz w:val="24"/>
                <w:szCs w:val="24"/>
                <w:lang w:bidi="ar"/>
              </w:rPr>
              <w:t>0</w:t>
            </w:r>
          </w:p>
        </w:tc>
      </w:tr>
      <w:tr w14:paraId="46972204">
        <w:tblPrEx>
          <w:tblCellMar>
            <w:top w:w="15" w:type="dxa"/>
            <w:left w:w="15" w:type="dxa"/>
            <w:bottom w:w="15" w:type="dxa"/>
            <w:right w:w="15" w:type="dxa"/>
          </w:tblCellMar>
        </w:tblPrEx>
        <w:trPr>
          <w:trHeight w:val="23" w:hRule="atLeast"/>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96D418">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总体 目标</w:t>
            </w:r>
          </w:p>
        </w:tc>
        <w:tc>
          <w:tcPr>
            <w:tcW w:w="9989" w:type="dxa"/>
            <w:gridSpan w:val="8"/>
            <w:tcBorders>
              <w:top w:val="single" w:color="000000" w:sz="4" w:space="0"/>
              <w:left w:val="single" w:color="000000" w:sz="4" w:space="0"/>
              <w:bottom w:val="single" w:color="000000" w:sz="4" w:space="0"/>
              <w:right w:val="single" w:color="000000" w:sz="4" w:space="0"/>
            </w:tcBorders>
            <w:noWrap w:val="0"/>
            <w:vAlign w:val="center"/>
          </w:tcPr>
          <w:p w14:paraId="030D7B83">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年度目标</w:t>
            </w:r>
          </w:p>
        </w:tc>
      </w:tr>
      <w:tr w14:paraId="2B80056F">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95806D">
            <w:pPr>
              <w:spacing w:line="300" w:lineRule="exact"/>
              <w:rPr>
                <w:rFonts w:hint="eastAsia" w:ascii="宋体" w:hAnsi="宋体" w:eastAsia="宋体" w:cs="宋体"/>
                <w:color w:val="000000"/>
                <w:sz w:val="24"/>
                <w:szCs w:val="24"/>
              </w:rPr>
            </w:pPr>
          </w:p>
        </w:tc>
        <w:tc>
          <w:tcPr>
            <w:tcW w:w="9989" w:type="dxa"/>
            <w:gridSpan w:val="8"/>
            <w:tcBorders>
              <w:top w:val="single" w:color="000000" w:sz="4" w:space="0"/>
              <w:left w:val="single" w:color="000000" w:sz="4" w:space="0"/>
              <w:bottom w:val="single" w:color="000000" w:sz="4" w:space="0"/>
              <w:right w:val="single" w:color="000000" w:sz="4" w:space="0"/>
            </w:tcBorders>
            <w:noWrap w:val="0"/>
            <w:vAlign w:val="center"/>
          </w:tcPr>
          <w:p w14:paraId="522C97EA">
            <w:pPr>
              <w:widowControl/>
              <w:spacing w:line="300" w:lineRule="exact"/>
              <w:jc w:val="left"/>
              <w:textAlignment w:val="center"/>
              <w:rPr>
                <w:rFonts w:hint="eastAsia" w:eastAsia="宋体"/>
                <w:color w:val="000000"/>
                <w:kern w:val="0"/>
                <w:sz w:val="24"/>
                <w:szCs w:val="24"/>
                <w:lang w:bidi="ar"/>
              </w:rPr>
            </w:pPr>
            <w:r>
              <w:rPr>
                <w:rFonts w:hint="eastAsia" w:ascii="宋体" w:hAnsi="宋体" w:eastAsia="宋体" w:cs="宋体"/>
                <w:color w:val="000000"/>
                <w:kern w:val="0"/>
                <w:sz w:val="24"/>
                <w:szCs w:val="24"/>
                <w:lang w:val="en-US" w:eastAsia="zh-CN" w:bidi="ar"/>
              </w:rPr>
              <w:t>黑水县生活垃圾中转站、热解气化站运营管理项目; 运营管理一座处理规模50吨/天的生活垃圾热解气化站；运营管理五座垃圾中转站。此项目通过采购，由第三方公司运营管理，我单位按月考核，经费主要用于：人工成本：含基本工资、人员保险、劳动补贴等费用。2、作业成本：含作业消耗水费、油费、电费，耗材成本费、设施设备维护维修费、机械化作业成本费、固定资产折旧摊销等。3、企业成本：含企业税费、管理费、合理利润等。</w:t>
            </w:r>
          </w:p>
        </w:tc>
      </w:tr>
      <w:tr w14:paraId="7B716606">
        <w:tblPrEx>
          <w:tblCellMar>
            <w:top w:w="15" w:type="dxa"/>
            <w:left w:w="15" w:type="dxa"/>
            <w:bottom w:w="15" w:type="dxa"/>
            <w:right w:w="15" w:type="dxa"/>
          </w:tblCellMar>
        </w:tblPrEx>
        <w:trPr>
          <w:trHeight w:val="23" w:hRule="atLeast"/>
        </w:trPr>
        <w:tc>
          <w:tcPr>
            <w:tcW w:w="652" w:type="dxa"/>
            <w:vMerge w:val="restart"/>
            <w:tcBorders>
              <w:top w:val="single" w:color="000000" w:sz="4" w:space="0"/>
              <w:left w:val="single" w:color="000000" w:sz="4" w:space="0"/>
              <w:bottom w:val="single" w:color="000000" w:sz="4" w:space="0"/>
            </w:tcBorders>
            <w:noWrap w:val="0"/>
            <w:vAlign w:val="center"/>
          </w:tcPr>
          <w:p w14:paraId="3370586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20A9256">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一级指标</w:t>
            </w: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27B26BC1">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二级指标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5151CE0D">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三级指标</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6207689C">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指标性质</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027E87D5">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指标值</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1837EFD7">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度量单位</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CAFF1EF">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权重</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0DF2301B">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实际完成指标值</w:t>
            </w:r>
          </w:p>
        </w:tc>
      </w:tr>
      <w:tr w14:paraId="2D37D715">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1B8901C1">
            <w:pPr>
              <w:spacing w:line="300" w:lineRule="exact"/>
              <w:jc w:val="center"/>
              <w:rPr>
                <w:rFonts w:hint="eastAsia" w:ascii="宋体" w:hAnsi="宋体" w:eastAsia="宋体" w:cs="宋体"/>
                <w:color w:val="000000"/>
                <w:sz w:val="24"/>
                <w:szCs w:val="24"/>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4D1F3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产出指标</w:t>
            </w:r>
          </w:p>
        </w:tc>
        <w:tc>
          <w:tcPr>
            <w:tcW w:w="1661" w:type="dxa"/>
            <w:tcBorders>
              <w:top w:val="single" w:color="000000" w:sz="4" w:space="0"/>
              <w:left w:val="single" w:color="000000" w:sz="4" w:space="0"/>
              <w:right w:val="single" w:color="000000" w:sz="4" w:space="0"/>
            </w:tcBorders>
            <w:noWrap w:val="0"/>
            <w:vAlign w:val="center"/>
          </w:tcPr>
          <w:p w14:paraId="4A39364D">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时效指标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78C62DBB">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运营管理时间</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7168EF9D">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3E87F28">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1</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08578964">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年</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6C08991">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10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225231C0">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1</w:t>
            </w:r>
          </w:p>
        </w:tc>
      </w:tr>
      <w:tr w14:paraId="2B8B73C7">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38D1BE5D">
            <w:pPr>
              <w:spacing w:line="300" w:lineRule="exact"/>
              <w:jc w:val="center"/>
              <w:rPr>
                <w:rFonts w:hint="eastAsia"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AC1F1">
            <w:pPr>
              <w:spacing w:line="300" w:lineRule="exact"/>
              <w:jc w:val="center"/>
              <w:rPr>
                <w:rFonts w:hint="eastAsia" w:ascii="宋体" w:hAnsi="宋体" w:eastAsia="宋体" w:cs="宋体"/>
                <w:color w:val="000000"/>
                <w:sz w:val="24"/>
                <w:szCs w:val="24"/>
              </w:rPr>
            </w:pP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70851E33">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质量指标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5708FB8C">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城市垃圾处理及焚烧率</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46F08472">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630DECE">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85</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326D2DBD">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5647B11">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20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3C3FB609">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85</w:t>
            </w:r>
          </w:p>
        </w:tc>
      </w:tr>
      <w:tr w14:paraId="15B19A11">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4A90E314">
            <w:pPr>
              <w:spacing w:line="300" w:lineRule="exact"/>
              <w:jc w:val="center"/>
              <w:rPr>
                <w:rFonts w:hint="eastAsia" w:ascii="宋体" w:hAnsi="宋体" w:eastAsia="宋体" w:cs="宋体"/>
                <w:color w:val="000000"/>
                <w:sz w:val="24"/>
                <w:szCs w:val="24"/>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E639E4">
            <w:pPr>
              <w:spacing w:line="300" w:lineRule="exact"/>
              <w:jc w:val="center"/>
              <w:rPr>
                <w:rFonts w:hint="eastAsia" w:ascii="宋体" w:hAnsi="宋体" w:eastAsia="宋体" w:cs="宋体"/>
                <w:color w:val="000000"/>
                <w:sz w:val="24"/>
                <w:szCs w:val="24"/>
              </w:rPr>
            </w:pP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6322AA52">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数量指标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50183E45">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生活垃圾热解气化站日处理规模</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7A7319D8">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A4A39D6">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50</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451D32CB">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吨</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73BB819">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20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4553E26E">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50</w:t>
            </w:r>
          </w:p>
        </w:tc>
      </w:tr>
      <w:tr w14:paraId="6DD3A32A">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7ECEF13D">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DB739FE">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效益指标</w:t>
            </w: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2ED2C653">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社会效益指标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47F4B3F7">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保护周边生态环境及下游水资源</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2689D07D">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定性</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76307176">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优</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002AEF0C">
            <w:pPr>
              <w:widowControl/>
              <w:spacing w:line="300" w:lineRule="exact"/>
              <w:jc w:val="center"/>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82B1E65">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20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48321E0A">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优</w:t>
            </w:r>
          </w:p>
        </w:tc>
      </w:tr>
      <w:tr w14:paraId="66054C7B">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0B4957E0">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right w:val="single" w:color="000000" w:sz="4" w:space="0"/>
            </w:tcBorders>
            <w:noWrap w:val="0"/>
            <w:vAlign w:val="center"/>
          </w:tcPr>
          <w:p w14:paraId="549D7F03">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满意度</w:t>
            </w:r>
          </w:p>
          <w:p w14:paraId="188E6C10">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指标</w:t>
            </w:r>
          </w:p>
        </w:tc>
        <w:tc>
          <w:tcPr>
            <w:tcW w:w="1661" w:type="dxa"/>
            <w:tcBorders>
              <w:top w:val="single" w:color="000000" w:sz="4" w:space="0"/>
              <w:left w:val="single" w:color="000000" w:sz="4" w:space="0"/>
              <w:right w:val="single" w:color="000000" w:sz="4" w:space="0"/>
            </w:tcBorders>
            <w:noWrap w:val="0"/>
            <w:vAlign w:val="center"/>
          </w:tcPr>
          <w:p w14:paraId="1FC18D5D">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满意度指标</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7EC90F7F">
            <w:pPr>
              <w:widowControl/>
              <w:spacing w:line="300" w:lineRule="exact"/>
              <w:jc w:val="center"/>
              <w:textAlignment w:val="center"/>
              <w:rPr>
                <w:rFonts w:hint="eastAsia"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市民满意度</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6E4F9FE3">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FC926AD">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90</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1342AF6E">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F2B9F86">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10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277B2526">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90</w:t>
            </w:r>
          </w:p>
        </w:tc>
      </w:tr>
      <w:tr w14:paraId="6CCFB349">
        <w:tblPrEx>
          <w:tblCellMar>
            <w:top w:w="15" w:type="dxa"/>
            <w:left w:w="15" w:type="dxa"/>
            <w:bottom w:w="15" w:type="dxa"/>
            <w:right w:w="15" w:type="dxa"/>
          </w:tblCellMar>
        </w:tblPrEx>
        <w:trPr>
          <w:trHeight w:val="23" w:hRule="atLeast"/>
        </w:trPr>
        <w:tc>
          <w:tcPr>
            <w:tcW w:w="652" w:type="dxa"/>
            <w:vMerge w:val="continue"/>
            <w:tcBorders>
              <w:top w:val="single" w:color="000000" w:sz="4" w:space="0"/>
              <w:left w:val="single" w:color="000000" w:sz="4" w:space="0"/>
              <w:bottom w:val="single" w:color="000000" w:sz="4" w:space="0"/>
            </w:tcBorders>
            <w:noWrap w:val="0"/>
            <w:vAlign w:val="center"/>
          </w:tcPr>
          <w:p w14:paraId="750F94B5">
            <w:pPr>
              <w:spacing w:line="300" w:lineRule="exact"/>
              <w:jc w:val="center"/>
              <w:rPr>
                <w:rFonts w:hint="eastAsia" w:ascii="宋体" w:hAnsi="宋体" w:eastAsia="宋体" w:cs="宋体"/>
                <w:color w:val="000000"/>
                <w:sz w:val="24"/>
                <w:szCs w:val="24"/>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84C9A24">
            <w:pPr>
              <w:widowControl/>
              <w:spacing w:line="300" w:lineRule="exact"/>
              <w:jc w:val="center"/>
              <w:textAlignment w:val="center"/>
              <w:rPr>
                <w:rFonts w:ascii="宋体" w:hAnsi="宋体" w:eastAsia="宋体" w:cs="宋体"/>
                <w:color w:val="000000"/>
                <w:sz w:val="24"/>
                <w:szCs w:val="24"/>
              </w:rPr>
            </w:pPr>
            <w:r>
              <w:rPr>
                <w:rFonts w:ascii="宋体" w:hAnsi="宋体" w:eastAsia="宋体" w:cs="宋体"/>
                <w:color w:val="000000"/>
                <w:kern w:val="0"/>
                <w:sz w:val="24"/>
                <w:szCs w:val="24"/>
                <w:lang w:bidi="ar"/>
              </w:rPr>
              <w:t>成本指标</w:t>
            </w:r>
          </w:p>
        </w:tc>
        <w:tc>
          <w:tcPr>
            <w:tcW w:w="1661" w:type="dxa"/>
            <w:tcBorders>
              <w:top w:val="single" w:color="000000" w:sz="4" w:space="0"/>
              <w:left w:val="single" w:color="000000" w:sz="4" w:space="0"/>
              <w:bottom w:val="single" w:color="000000" w:sz="4" w:space="0"/>
              <w:right w:val="single" w:color="000000" w:sz="4" w:space="0"/>
            </w:tcBorders>
            <w:noWrap w:val="0"/>
            <w:vAlign w:val="center"/>
          </w:tcPr>
          <w:p w14:paraId="5A22BE8D">
            <w:pPr>
              <w:widowControl/>
              <w:spacing w:line="300" w:lineRule="exact"/>
              <w:jc w:val="center"/>
              <w:textAlignment w:val="center"/>
              <w:rPr>
                <w:rFonts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经济成本指标</w:t>
            </w:r>
          </w:p>
        </w:tc>
        <w:tc>
          <w:tcPr>
            <w:tcW w:w="2836" w:type="dxa"/>
            <w:tcBorders>
              <w:top w:val="single" w:color="000000" w:sz="4" w:space="0"/>
              <w:bottom w:val="single" w:color="000000" w:sz="4" w:space="0"/>
              <w:right w:val="single" w:color="000000" w:sz="4" w:space="0"/>
            </w:tcBorders>
            <w:noWrap w:val="0"/>
            <w:vAlign w:val="center"/>
          </w:tcPr>
          <w:p w14:paraId="0FBB52D7">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每年运营经费</w:t>
            </w:r>
          </w:p>
        </w:tc>
        <w:tc>
          <w:tcPr>
            <w:tcW w:w="899" w:type="dxa"/>
            <w:tcBorders>
              <w:top w:val="single" w:color="000000" w:sz="4" w:space="0"/>
              <w:left w:val="single" w:color="000000" w:sz="4" w:space="0"/>
              <w:bottom w:val="single" w:color="000000" w:sz="4" w:space="0"/>
              <w:right w:val="single" w:color="000000" w:sz="4" w:space="0"/>
            </w:tcBorders>
            <w:noWrap w:val="0"/>
            <w:vAlign w:val="center"/>
          </w:tcPr>
          <w:p w14:paraId="2A2AAB20">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32BDC7C">
            <w:pPr>
              <w:widowControl/>
              <w:spacing w:line="300" w:lineRule="exact"/>
              <w:jc w:val="center"/>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402</w:t>
            </w:r>
          </w:p>
        </w:tc>
        <w:tc>
          <w:tcPr>
            <w:tcW w:w="612" w:type="dxa"/>
            <w:tcBorders>
              <w:top w:val="single" w:color="000000" w:sz="4" w:space="0"/>
              <w:left w:val="single" w:color="000000" w:sz="4" w:space="0"/>
              <w:bottom w:val="single" w:color="000000" w:sz="4" w:space="0"/>
              <w:right w:val="single" w:color="000000" w:sz="4" w:space="0"/>
            </w:tcBorders>
            <w:noWrap w:val="0"/>
            <w:vAlign w:val="center"/>
          </w:tcPr>
          <w:p w14:paraId="75838AF3">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万元</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3B6CAC1">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10</w:t>
            </w:r>
          </w:p>
        </w:tc>
        <w:tc>
          <w:tcPr>
            <w:tcW w:w="1461" w:type="dxa"/>
            <w:tcBorders>
              <w:top w:val="single" w:color="000000" w:sz="4" w:space="0"/>
              <w:left w:val="single" w:color="000000" w:sz="4" w:space="0"/>
              <w:bottom w:val="single" w:color="000000" w:sz="4" w:space="0"/>
              <w:right w:val="single" w:color="000000" w:sz="4" w:space="0"/>
            </w:tcBorders>
            <w:noWrap w:val="0"/>
            <w:vAlign w:val="center"/>
          </w:tcPr>
          <w:p w14:paraId="33B5DA09">
            <w:pPr>
              <w:widowControl/>
              <w:spacing w:line="300" w:lineRule="exact"/>
              <w:jc w:val="center"/>
              <w:textAlignment w:val="center"/>
              <w:rPr>
                <w:rFonts w:hint="eastAsia" w:ascii="宋体" w:hAnsi="宋体" w:eastAsia="宋体" w:cs="宋体"/>
                <w:color w:val="000000"/>
                <w:kern w:val="0"/>
                <w:sz w:val="24"/>
                <w:szCs w:val="24"/>
                <w:lang w:bidi="ar"/>
              </w:rPr>
            </w:pPr>
            <w:r>
              <w:rPr>
                <w:rFonts w:hint="default" w:ascii="宋体" w:hAnsi="宋体" w:eastAsia="宋体" w:cs="宋体"/>
                <w:color w:val="000000"/>
                <w:kern w:val="0"/>
                <w:sz w:val="24"/>
                <w:szCs w:val="24"/>
                <w:lang w:val="en-US" w:eastAsia="zh-CN" w:bidi="ar"/>
              </w:rPr>
              <w:t>402</w:t>
            </w:r>
          </w:p>
        </w:tc>
      </w:tr>
    </w:tbl>
    <w:p w14:paraId="43E398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22D634CB"/>
    <w:rsid w:val="2439349C"/>
    <w:rsid w:val="244E01D1"/>
    <w:rsid w:val="2E6744D6"/>
    <w:rsid w:val="33DA011B"/>
    <w:rsid w:val="358B1B11"/>
    <w:rsid w:val="423607D0"/>
    <w:rsid w:val="439767C2"/>
    <w:rsid w:val="4A0B0DD8"/>
    <w:rsid w:val="55704B34"/>
    <w:rsid w:val="57B166CC"/>
    <w:rsid w:val="5DBC40E7"/>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5"/>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Pages>
  <Words>6163</Words>
  <Characters>6301</Characters>
  <Lines>2</Lines>
  <Paragraphs>1</Paragraphs>
  <TotalTime>0</TotalTime>
  <ScaleCrop>false</ScaleCrop>
  <LinksUpToDate>false</LinksUpToDate>
  <CharactersWithSpaces>6334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2025-08-29T03:33:54Z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