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8CC60F">
      <w:pPr>
        <w:pStyle w:val="16"/>
        <w:spacing w:line="578" w:lineRule="exact"/>
        <w:jc w:val="center"/>
        <w:rPr>
          <w:rFonts w:hint="eastAsia" w:ascii="仿宋_GB2312" w:hAnsi="黑体" w:eastAsia="仿宋_GB2312" w:cs="方正小标宋简体"/>
          <w:b/>
          <w:color w:val="auto"/>
          <w:kern w:val="2"/>
          <w:sz w:val="32"/>
          <w:szCs w:val="32"/>
          <w:lang w:val="en-US" w:eastAsia="zh-CN" w:bidi="ar-SA"/>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color w:val="auto"/>
          <w:kern w:val="2"/>
          <w:sz w:val="32"/>
          <w:szCs w:val="32"/>
          <w:lang w:val="en-US" w:eastAsia="zh-CN" w:bidi="ar-SA"/>
        </w:rPr>
        <w:t>城区路灯电费及光彩工程电费项目</w:t>
      </w:r>
    </w:p>
    <w:p w14:paraId="04CB4C64">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支出绩效评价报告</w:t>
      </w:r>
    </w:p>
    <w:p w14:paraId="0365D809">
      <w:pPr>
        <w:spacing w:line="580" w:lineRule="exact"/>
        <w:ind w:firstLine="640" w:firstLineChars="200"/>
        <w:rPr>
          <w:rFonts w:ascii="仿宋_GB2312" w:hAnsi="仿宋_GB2312" w:eastAsia="仿宋_GB2312" w:cs="仿宋_GB2312"/>
          <w:sz w:val="32"/>
          <w:szCs w:val="32"/>
        </w:rPr>
      </w:pPr>
    </w:p>
    <w:p w14:paraId="19D1CF4D">
      <w:pPr>
        <w:adjustRightInd w:val="0"/>
        <w:snapToGrid w:val="0"/>
        <w:spacing w:line="578"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zh-CN"/>
        </w:rPr>
        <w:t>项目概况</w:t>
      </w:r>
    </w:p>
    <w:p w14:paraId="5735C046">
      <w:pPr>
        <w:widowControl/>
        <w:adjustRightInd w:val="0"/>
        <w:snapToGrid w:val="0"/>
        <w:spacing w:line="578" w:lineRule="exact"/>
        <w:ind w:firstLine="643"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b/>
          <w:sz w:val="32"/>
          <w:szCs w:val="32"/>
          <w:lang w:val="zh-CN"/>
        </w:rPr>
        <w:t>（一）设立背景及基本情况。</w:t>
      </w:r>
    </w:p>
    <w:p w14:paraId="01D76552">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1.项目设立原因及背景</w:t>
      </w:r>
    </w:p>
    <w:p w14:paraId="0DF3B4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路灯作为城市基础设施的重要组成部分，对于保障市民夜间出行安全、提升城市形象具有不可替代的作用。随着城市化进程的加快，路灯数量和覆盖范围不断扩大，因此产生的电费支出也随之增加。光彩工程则是城市美化、亮化的重要手段，通过灯光艺术展现城市特色，提升城市品位和吸引力。</w:t>
      </w:r>
    </w:p>
    <w:p w14:paraId="1CDE4018">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2.项目立项、资金申报的依据</w:t>
      </w:r>
    </w:p>
    <w:p w14:paraId="3B1F0F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路灯电费和光彩工程电费作为政府财政支出的一部分，其管理和控制对于政府财政的稳健运行具有重要意义。通过设立专门的电费项目，可以实现对这些费用的统一管理和监督，确保资金使用的合理性和有效性。</w:t>
      </w:r>
    </w:p>
    <w:p w14:paraId="31EA8EC1">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3.项目主要内容</w:t>
      </w:r>
    </w:p>
    <w:p w14:paraId="2100C0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城区路灯电费及光彩工程电费项目旨在确保城区路灯和光彩工程设施的正常运行，为市民提供安全、便捷的夜间出行环境，并美化城市景观。</w:t>
      </w:r>
    </w:p>
    <w:p w14:paraId="530A99B3">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4.主管部门职能</w:t>
      </w:r>
    </w:p>
    <w:p w14:paraId="44949FE8">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我单位承担专项资金绩效管理的主体责任，主要负责提出专项资金分配方案，制定项目管理制度，组织项目评审和实施，开展项目验收、绩效评价和监督检查等工作。</w:t>
      </w:r>
    </w:p>
    <w:p w14:paraId="2ECE72EB">
      <w:pPr>
        <w:adjustRightInd w:val="0"/>
        <w:snapToGrid w:val="0"/>
        <w:spacing w:line="578" w:lineRule="exact"/>
        <w:ind w:firstLine="643" w:firstLineChars="20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（二）</w:t>
      </w:r>
      <w:r>
        <w:rPr>
          <w:rFonts w:hint="eastAsia" w:ascii="仿宋_GB2312" w:hAnsi="仿宋_GB2312" w:eastAsia="仿宋_GB2312" w:cs="仿宋_GB2312"/>
          <w:b/>
          <w:sz w:val="32"/>
          <w:szCs w:val="32"/>
        </w:rPr>
        <w:t>实施目的及支持方向。</w:t>
      </w:r>
    </w:p>
    <w:p w14:paraId="3252D1B0">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1.项目资金管理办法制定情况</w:t>
      </w:r>
    </w:p>
    <w:p w14:paraId="02C41841">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我单位结合实际制定</w:t>
      </w:r>
      <w:r>
        <w:rPr>
          <w:rFonts w:hint="eastAsia" w:ascii="仿宋_GB2312" w:hAnsi="仿宋_GB2312" w:eastAsia="仿宋_GB2312" w:cs="仿宋_GB2312"/>
          <w:kern w:val="0"/>
          <w:sz w:val="32"/>
          <w:szCs w:val="32"/>
          <w:lang w:eastAsia="zh-CN"/>
        </w:rPr>
        <w:t>和完善</w:t>
      </w:r>
      <w:r>
        <w:rPr>
          <w:rFonts w:hint="eastAsia" w:ascii="仿宋_GB2312" w:hAnsi="仿宋_GB2312" w:eastAsia="仿宋_GB2312" w:cs="仿宋_GB2312"/>
          <w:kern w:val="0"/>
          <w:sz w:val="32"/>
          <w:szCs w:val="32"/>
        </w:rPr>
        <w:t>了项目</w:t>
      </w:r>
      <w:r>
        <w:rPr>
          <w:rFonts w:hint="eastAsia" w:ascii="仿宋_GB2312" w:hAnsi="仿宋_GB2312" w:eastAsia="仿宋_GB2312" w:cs="仿宋_GB2312"/>
          <w:kern w:val="0"/>
          <w:sz w:val="32"/>
          <w:szCs w:val="32"/>
          <w:lang w:eastAsia="zh-CN"/>
        </w:rPr>
        <w:t>资金</w:t>
      </w:r>
      <w:r>
        <w:rPr>
          <w:rFonts w:hint="eastAsia" w:ascii="仿宋_GB2312" w:hAnsi="仿宋_GB2312" w:eastAsia="仿宋_GB2312" w:cs="仿宋_GB2312"/>
          <w:kern w:val="0"/>
          <w:sz w:val="32"/>
          <w:szCs w:val="32"/>
        </w:rPr>
        <w:t>管理办法，项目管理办法有效执行。</w:t>
      </w:r>
    </w:p>
    <w:p w14:paraId="62424220">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2.项目实施目的和主要工作任务</w:t>
      </w:r>
    </w:p>
    <w:p w14:paraId="14C9A0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城区路灯电费及光彩工程电费项目旨在确保城区路灯和光彩工程设施的正常运行，为市民提供安全、便捷的夜间出行环境，并美化城市景观。</w:t>
      </w:r>
    </w:p>
    <w:p w14:paraId="17A81F71">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3.项目支持方向</w:t>
      </w:r>
    </w:p>
    <w:p w14:paraId="5441D045">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该项目资金主要用于城市</w:t>
      </w:r>
      <w:r>
        <w:rPr>
          <w:rFonts w:hint="eastAsia" w:ascii="仿宋_GB2312" w:hAnsi="仿宋_GB2312" w:eastAsia="仿宋_GB2312" w:cs="仿宋_GB2312"/>
          <w:b w:val="0"/>
          <w:bCs w:val="0"/>
          <w:sz w:val="32"/>
          <w:szCs w:val="32"/>
          <w:lang w:val="en-US" w:eastAsia="zh-CN"/>
        </w:rPr>
        <w:t>道路照明设施路灯的电费支出</w:t>
      </w:r>
      <w:r>
        <w:rPr>
          <w:rFonts w:hint="eastAsia" w:ascii="仿宋_GB2312" w:hAnsi="仿宋_GB2312" w:eastAsia="仿宋_GB2312" w:cs="仿宋_GB2312"/>
          <w:kern w:val="0"/>
          <w:sz w:val="32"/>
          <w:szCs w:val="32"/>
          <w:lang w:val="en-US" w:eastAsia="zh-CN"/>
        </w:rPr>
        <w:t>。</w:t>
      </w:r>
    </w:p>
    <w:p w14:paraId="61FE308F">
      <w:pPr>
        <w:widowControl/>
        <w:adjustRightInd w:val="0"/>
        <w:snapToGrid w:val="0"/>
        <w:spacing w:line="578" w:lineRule="exact"/>
        <w:ind w:firstLine="643"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b/>
          <w:sz w:val="32"/>
          <w:szCs w:val="32"/>
          <w:lang w:val="zh-CN"/>
        </w:rPr>
        <w:t>（三）</w:t>
      </w:r>
      <w:r>
        <w:rPr>
          <w:rFonts w:hint="eastAsia" w:ascii="仿宋_GB2312" w:hAnsi="仿宋_GB2312" w:eastAsia="仿宋_GB2312" w:cs="仿宋_GB2312"/>
          <w:b/>
          <w:sz w:val="32"/>
          <w:szCs w:val="32"/>
        </w:rPr>
        <w:t>预算安排及分配管理</w:t>
      </w:r>
      <w:r>
        <w:rPr>
          <w:rFonts w:hint="eastAsia" w:ascii="仿宋_GB2312" w:hAnsi="仿宋_GB2312" w:eastAsia="仿宋_GB2312" w:cs="仿宋_GB2312"/>
          <w:b/>
          <w:sz w:val="32"/>
          <w:szCs w:val="32"/>
          <w:lang w:val="zh-CN"/>
        </w:rPr>
        <w:t>。</w:t>
      </w:r>
    </w:p>
    <w:p w14:paraId="563068CE">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1.项目预算安排情况</w:t>
      </w:r>
    </w:p>
    <w:p w14:paraId="58DA9C68">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预算申报项目资金金额为90万元，批复金额为90万元，实际使用金额90万元，项目资金符合资金管理办法等相关规定。资金按批复金额在项目实施前全部到位，与资金计划相契合，资金到位率、到位及时性均为100%，保障项目能够如期开展。</w:t>
      </w:r>
    </w:p>
    <w:p w14:paraId="4C5978B2">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2.项目资金分配原则及考虑因素</w:t>
      </w:r>
    </w:p>
    <w:p w14:paraId="3325DED6">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14:paraId="50EB4A3D">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3.项目资金分配情况</w:t>
      </w:r>
    </w:p>
    <w:p w14:paraId="589CF2A3">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项目总预算资金为</w:t>
      </w:r>
      <w:r>
        <w:rPr>
          <w:rFonts w:hint="eastAsia" w:ascii="仿宋_GB2312" w:hAnsi="仿宋_GB2312" w:eastAsia="仿宋_GB2312" w:cs="仿宋_GB2312"/>
          <w:kern w:val="0"/>
          <w:sz w:val="32"/>
          <w:szCs w:val="32"/>
          <w:lang w:val="en-US" w:eastAsia="zh-CN"/>
        </w:rPr>
        <w:t>90</w:t>
      </w:r>
      <w:r>
        <w:rPr>
          <w:rFonts w:hint="eastAsia" w:ascii="仿宋_GB2312" w:hAnsi="仿宋_GB2312" w:eastAsia="仿宋_GB2312" w:cs="仿宋_GB2312"/>
          <w:kern w:val="0"/>
          <w:sz w:val="32"/>
          <w:szCs w:val="32"/>
        </w:rPr>
        <w:t>万元，来源为</w:t>
      </w:r>
      <w:r>
        <w:rPr>
          <w:rFonts w:hint="eastAsia" w:ascii="仿宋_GB2312" w:hAnsi="仿宋_GB2312" w:eastAsia="仿宋_GB2312" w:cs="仿宋_GB2312"/>
          <w:kern w:val="0"/>
          <w:sz w:val="32"/>
          <w:szCs w:val="32"/>
          <w:lang w:eastAsia="zh-CN"/>
        </w:rPr>
        <w:t>县级财政</w:t>
      </w:r>
      <w:r>
        <w:rPr>
          <w:rFonts w:hint="eastAsia" w:ascii="仿宋_GB2312" w:hAnsi="仿宋_GB2312" w:eastAsia="仿宋_GB2312" w:cs="仿宋_GB2312"/>
          <w:kern w:val="0"/>
          <w:sz w:val="32"/>
          <w:szCs w:val="32"/>
        </w:rPr>
        <w:t>专项资金，预算资金分配充分，资金分配额度合理，与项目单位实际相适应。</w:t>
      </w:r>
      <w:r>
        <w:rPr>
          <w:rFonts w:hint="eastAsia" w:ascii="仿宋_GB2312" w:hAnsi="仿宋_GB2312" w:eastAsia="仿宋_GB2312" w:cs="仿宋_GB2312"/>
          <w:kern w:val="0"/>
          <w:sz w:val="32"/>
          <w:szCs w:val="32"/>
          <w:lang w:val="en-US" w:eastAsia="zh-CN"/>
        </w:rPr>
        <w:t xml:space="preserve"> 目前项目资金已全部支出，支付范围为城市</w:t>
      </w:r>
      <w:r>
        <w:rPr>
          <w:rFonts w:hint="eastAsia" w:ascii="仿宋_GB2312" w:hAnsi="仿宋_GB2312" w:eastAsia="仿宋_GB2312" w:cs="仿宋_GB2312"/>
          <w:b w:val="0"/>
          <w:bCs w:val="0"/>
          <w:sz w:val="32"/>
          <w:szCs w:val="32"/>
          <w:lang w:val="en-US" w:eastAsia="zh-CN"/>
        </w:rPr>
        <w:t>道路照明设施路灯的电费</w:t>
      </w:r>
      <w:r>
        <w:rPr>
          <w:rFonts w:hint="eastAsia" w:ascii="仿宋_GB2312" w:hAnsi="仿宋_GB2312" w:eastAsia="仿宋_GB2312" w:cs="仿宋_GB2312"/>
          <w:kern w:val="0"/>
          <w:sz w:val="32"/>
          <w:szCs w:val="32"/>
          <w:lang w:val="en-US" w:eastAsia="zh-CN"/>
        </w:rPr>
        <w:t>，支付依据合规合法，与预算相符。</w:t>
      </w:r>
    </w:p>
    <w:p w14:paraId="6F8A6452">
      <w:pPr>
        <w:adjustRightInd w:val="0"/>
        <w:snapToGrid w:val="0"/>
        <w:spacing w:line="578" w:lineRule="exact"/>
        <w:ind w:firstLine="643" w:firstLineChars="20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（四）项目绩效目标设置。</w:t>
      </w:r>
    </w:p>
    <w:p w14:paraId="751CC716">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路灯覆盖城区主次街道、背街小巷和四美沟（黑水县客运中心）至马桥，共计1383盏路灯。此项目经费用于2024年度1383盏路灯电费和光彩工程电费，保障路灯及光彩工程每天准时亮灯，亮化、美化城区环境，保障行人安全。</w:t>
      </w:r>
    </w:p>
    <w:p w14:paraId="05E53F88">
      <w:pPr>
        <w:adjustRightInd w:val="0"/>
        <w:snapToGrid w:val="0"/>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二、评价实施</w:t>
      </w:r>
    </w:p>
    <w:p w14:paraId="03138191">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（一）评价目的。</w:t>
      </w:r>
    </w:p>
    <w:p w14:paraId="24842A7E">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_GB2312" w:hAnsi="仿宋_GB2312" w:eastAsia="仿宋_GB2312" w:cs="仿宋_GB2312"/>
          <w:kern w:val="0"/>
          <w:sz w:val="32"/>
          <w:szCs w:val="32"/>
          <w:lang w:val="en-US" w:eastAsia="zh-CN"/>
        </w:rPr>
        <w:t>阿坝州财政局</w:t>
      </w:r>
      <w:r>
        <w:rPr>
          <w:rFonts w:hint="eastAsia" w:ascii="仿宋_GB2312" w:hAnsi="仿宋_GB2312" w:eastAsia="仿宋_GB2312" w:cs="仿宋_GB2312"/>
          <w:kern w:val="0"/>
          <w:sz w:val="32"/>
          <w:szCs w:val="32"/>
        </w:rPr>
        <w:t>印发《</w:t>
      </w:r>
      <w:r>
        <w:rPr>
          <w:rFonts w:hint="eastAsia" w:ascii="仿宋_GB2312" w:hAnsi="仿宋_GB2312" w:eastAsia="仿宋_GB2312" w:cs="仿宋_GB2312"/>
          <w:kern w:val="0"/>
          <w:sz w:val="32"/>
          <w:szCs w:val="32"/>
          <w:lang w:val="en-US" w:eastAsia="zh-CN"/>
        </w:rPr>
        <w:t>阿坝州财政局关于开展 2025年州级部门绩效自评工作的</w:t>
      </w:r>
      <w:r>
        <w:rPr>
          <w:rFonts w:hint="eastAsia" w:ascii="仿宋_GB2312" w:hAnsi="仿宋_GB2312" w:eastAsia="仿宋_GB2312" w:cs="仿宋_GB2312"/>
          <w:kern w:val="0"/>
          <w:sz w:val="32"/>
          <w:szCs w:val="32"/>
          <w:lang w:eastAsia="zh-CN"/>
        </w:rPr>
        <w:t>通知</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阿州财监绩〔2025〕4号</w:t>
      </w:r>
      <w:r>
        <w:rPr>
          <w:rFonts w:hint="eastAsia" w:ascii="仿宋_GB2312" w:hAnsi="仿宋_GB2312" w:eastAsia="仿宋_GB2312" w:cs="仿宋_GB2312"/>
          <w:kern w:val="0"/>
          <w:sz w:val="32"/>
          <w:szCs w:val="32"/>
        </w:rPr>
        <w:t>），要求</w:t>
      </w:r>
      <w:r>
        <w:rPr>
          <w:rFonts w:hint="eastAsia" w:ascii="仿宋_GB2312" w:hAnsi="仿宋_GB2312" w:eastAsia="仿宋_GB2312" w:cs="仿宋_GB2312"/>
          <w:kern w:val="0"/>
          <w:sz w:val="32"/>
          <w:szCs w:val="32"/>
          <w:lang w:eastAsia="zh-CN"/>
        </w:rPr>
        <w:t>各部门（单位）</w:t>
      </w:r>
      <w:r>
        <w:rPr>
          <w:rFonts w:hint="eastAsia" w:ascii="仿宋_GB2312" w:hAnsi="仿宋_GB2312" w:eastAsia="仿宋_GB2312" w:cs="仿宋_GB2312"/>
          <w:kern w:val="0"/>
          <w:sz w:val="32"/>
          <w:szCs w:val="32"/>
        </w:rPr>
        <w:t>按照</w:t>
      </w:r>
      <w:r>
        <w:rPr>
          <w:rFonts w:hint="eastAsia" w:ascii="仿宋_GB2312" w:hAnsi="仿宋_GB2312" w:eastAsia="仿宋_GB2312" w:cs="仿宋_GB2312"/>
          <w:kern w:val="0"/>
          <w:sz w:val="32"/>
          <w:szCs w:val="32"/>
          <w:lang w:eastAsia="zh-CN"/>
        </w:rPr>
        <w:t>州财政局</w:t>
      </w:r>
      <w:r>
        <w:rPr>
          <w:rFonts w:hint="eastAsia" w:ascii="仿宋_GB2312" w:hAnsi="仿宋_GB2312" w:eastAsia="仿宋_GB2312" w:cs="仿宋_GB2312"/>
          <w:kern w:val="0"/>
          <w:sz w:val="32"/>
          <w:szCs w:val="32"/>
        </w:rPr>
        <w:t>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14:paraId="78BE29CD">
      <w:pPr>
        <w:adjustRightInd w:val="0"/>
        <w:snapToGrid w:val="0"/>
        <w:spacing w:line="578"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（二）预设问题及评价重点。</w:t>
      </w:r>
      <w:r>
        <w:rPr>
          <w:rFonts w:hint="eastAsia" w:ascii="仿宋_GB2312" w:hAnsi="仿宋_GB2312" w:eastAsia="仿宋_GB2312" w:cs="仿宋_GB2312"/>
          <w:sz w:val="32"/>
          <w:szCs w:val="32"/>
        </w:rPr>
        <w:t xml:space="preserve"> </w:t>
      </w:r>
    </w:p>
    <w:p w14:paraId="43EDBAF8">
      <w:pPr>
        <w:adjustRightInd w:val="0"/>
        <w:snapToGrid w:val="0"/>
        <w:spacing w:line="578" w:lineRule="exact"/>
        <w:ind w:firstLine="640" w:firstLineChars="200"/>
        <w:rPr>
          <w:rFonts w:hint="eastAsia" w:ascii="仿宋_GB2312" w:hAnsi="仿宋_GB2312" w:eastAsia="仿宋_GB2312" w:cs="仿宋_GB2312"/>
          <w:b/>
          <w:sz w:val="32"/>
          <w:szCs w:val="32"/>
          <w:lang w:val="zh-CN"/>
        </w:rPr>
      </w:pPr>
      <w:r>
        <w:rPr>
          <w:rFonts w:hint="eastAsia" w:ascii="仿宋_GB2312" w:hAnsi="仿宋_GB2312" w:eastAsia="仿宋_GB2312" w:cs="仿宋_GB2312"/>
          <w:kern w:val="0"/>
          <w:sz w:val="32"/>
          <w:szCs w:val="32"/>
        </w:rPr>
        <w:t>本次评价主要针对该项目的规划编制的内容完整性和项目实施工作的质量问题，结合该项目资金的使用情况来完整的体现。</w:t>
      </w:r>
    </w:p>
    <w:p w14:paraId="3569D36E">
      <w:pPr>
        <w:adjustRightInd w:val="0"/>
        <w:snapToGrid w:val="0"/>
        <w:spacing w:line="578" w:lineRule="exact"/>
        <w:ind w:firstLine="643"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（三）评价选点。</w:t>
      </w:r>
    </w:p>
    <w:p w14:paraId="37D175FC">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城区路灯电费及光彩工程电费项目</w:t>
      </w:r>
      <w:r>
        <w:rPr>
          <w:rFonts w:hint="eastAsia" w:ascii="仿宋_GB2312" w:hAnsi="仿宋_GB2312" w:eastAsia="仿宋_GB2312" w:cs="仿宋_GB2312"/>
          <w:kern w:val="0"/>
          <w:sz w:val="32"/>
          <w:szCs w:val="32"/>
        </w:rPr>
        <w:t>主要开展工作地点为</w:t>
      </w:r>
      <w:r>
        <w:rPr>
          <w:rFonts w:hint="eastAsia" w:ascii="仿宋_GB2312" w:hAnsi="仿宋_GB2312" w:eastAsia="仿宋_GB2312" w:cs="仿宋_GB2312"/>
          <w:kern w:val="0"/>
          <w:sz w:val="32"/>
          <w:szCs w:val="32"/>
          <w:lang w:eastAsia="zh-CN"/>
        </w:rPr>
        <w:t>黑水</w:t>
      </w:r>
      <w:r>
        <w:rPr>
          <w:rFonts w:hint="eastAsia" w:ascii="仿宋_GB2312" w:hAnsi="仿宋_GB2312" w:eastAsia="仿宋_GB2312" w:cs="仿宋_GB2312"/>
          <w:kern w:val="0"/>
          <w:sz w:val="32"/>
          <w:szCs w:val="32"/>
        </w:rPr>
        <w:t>县，本次绩效评价主体为</w:t>
      </w:r>
      <w:r>
        <w:rPr>
          <w:rFonts w:hint="eastAsia" w:ascii="仿宋_GB2312" w:hAnsi="仿宋_GB2312" w:eastAsia="仿宋_GB2312" w:cs="仿宋_GB2312"/>
          <w:kern w:val="0"/>
          <w:sz w:val="32"/>
          <w:szCs w:val="32"/>
          <w:lang w:val="en-US" w:eastAsia="zh-CN"/>
        </w:rPr>
        <w:t>黑水县</w:t>
      </w:r>
      <w:r>
        <w:rPr>
          <w:rFonts w:hint="eastAsia" w:ascii="仿宋_GB2312" w:hAnsi="仿宋_GB2312" w:eastAsia="仿宋_GB2312" w:cs="仿宋_GB2312"/>
          <w:kern w:val="0"/>
          <w:sz w:val="32"/>
          <w:szCs w:val="32"/>
          <w:lang w:eastAsia="zh-CN"/>
        </w:rPr>
        <w:t>财政局</w:t>
      </w:r>
      <w:r>
        <w:rPr>
          <w:rFonts w:hint="eastAsia" w:ascii="仿宋_GB2312" w:hAnsi="仿宋_GB2312" w:eastAsia="仿宋_GB2312" w:cs="仿宋_GB2312"/>
          <w:kern w:val="0"/>
          <w:sz w:val="32"/>
          <w:szCs w:val="32"/>
        </w:rPr>
        <w:t>，项目不</w:t>
      </w:r>
      <w:r>
        <w:rPr>
          <w:rFonts w:hint="eastAsia" w:ascii="仿宋_GB2312" w:hAnsi="仿宋_GB2312" w:eastAsia="仿宋_GB2312" w:cs="仿宋_GB2312"/>
          <w:kern w:val="0"/>
          <w:sz w:val="32"/>
          <w:szCs w:val="32"/>
          <w:lang w:eastAsia="zh-CN"/>
        </w:rPr>
        <w:t>涉及其他</w:t>
      </w:r>
      <w:r>
        <w:rPr>
          <w:rFonts w:hint="eastAsia" w:ascii="仿宋_GB2312" w:hAnsi="仿宋_GB2312" w:eastAsia="仿宋_GB2312" w:cs="仿宋_GB2312"/>
          <w:kern w:val="0"/>
          <w:sz w:val="32"/>
          <w:szCs w:val="32"/>
        </w:rPr>
        <w:t>点位。</w:t>
      </w:r>
    </w:p>
    <w:p w14:paraId="602067C6">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（四）评价方法。</w:t>
      </w:r>
    </w:p>
    <w:p w14:paraId="320D4AA8">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采用先进的绩效评价方法和科学的数据分析是取得正确客观评价结论的重要保障，评价组从以下方法中择优组织，对项目实施评价，通过定量和定性分析得出评价结论。</w:t>
      </w:r>
    </w:p>
    <w:p w14:paraId="08B04094">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1.比较分析法。是指通过对绩效目标与实施效果、历史与当期情况、不同部门和地区同类支出的比较，综合分析绩效目标实现程度。</w:t>
      </w:r>
    </w:p>
    <w:p w14:paraId="088C2971">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2.因素分析法。是指通过综合分析影响绩效目标实现、实施效果的内外因素，评价绩效目标实现程度。</w:t>
      </w:r>
    </w:p>
    <w:p w14:paraId="4D4BFA92">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3.最低成本分析法。是指对效益确定却不易计量的多个同类对象的实施成本进行比较，评价绩效目标实现程度。</w:t>
      </w:r>
    </w:p>
    <w:p w14:paraId="141DDC50">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4.双重交叉分析法。通过对项目建设前后的比较，根据成效等方面去寻找和分析政策产生的影响。</w:t>
      </w:r>
    </w:p>
    <w:p w14:paraId="7942FD78">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5.随机访谈法。针对部分项目负责人及实施主体进行了询问和访谈，如项目实施情况的必要性、可行性和满意度等进行随机访谈。</w:t>
      </w:r>
    </w:p>
    <w:p w14:paraId="7699C2C3">
      <w:pPr>
        <w:spacing w:line="578" w:lineRule="exact"/>
        <w:ind w:firstLine="640"/>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lang w:val="zh-CN"/>
        </w:rPr>
        <w:t>（五）评价组织。</w:t>
      </w:r>
    </w:p>
    <w:p w14:paraId="1E1A95E0">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1.领导小组职责：</w:t>
      </w:r>
    </w:p>
    <w:p w14:paraId="54A973A7">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（1）研究和决定同级政府公共事业管理绩效评价中的重大问题。</w:t>
      </w:r>
    </w:p>
    <w:p w14:paraId="17911CC0">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（2）组织协调绩效评价工作，确保评价的顺利进行。</w:t>
      </w:r>
    </w:p>
    <w:p w14:paraId="04F4588E">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（3）对各单位的工作目标、绩效考核结果和等次、奖惩方案进行审核，并报同级党委和政府审定。</w:t>
      </w:r>
    </w:p>
    <w:p w14:paraId="4D7F0A72">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2.办公室职责：</w:t>
      </w:r>
    </w:p>
    <w:p w14:paraId="5D1F6C43">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（1）提出全省（市、县）政府公共事业管理绩效评价的工作方案，并负责具体组织实施。</w:t>
      </w:r>
    </w:p>
    <w:p w14:paraId="44AF5F05">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（2）综合评价信息，提出评价结果</w:t>
      </w:r>
      <w:r>
        <w:rPr>
          <w:rFonts w:hint="eastAsia" w:ascii="仿宋_GB2312" w:hAnsi="仿宋_GB2312" w:eastAsia="仿宋_GB2312" w:cs="仿宋_GB2312"/>
          <w:kern w:val="0"/>
          <w:sz w:val="32"/>
          <w:szCs w:val="32"/>
          <w:lang w:eastAsia="zh-CN"/>
        </w:rPr>
        <w:t>等</w:t>
      </w:r>
      <w:r>
        <w:rPr>
          <w:rFonts w:hint="eastAsia" w:ascii="仿宋_GB2312" w:hAnsi="仿宋_GB2312" w:eastAsia="仿宋_GB2312" w:cs="仿宋_GB2312"/>
          <w:kern w:val="0"/>
          <w:sz w:val="32"/>
          <w:szCs w:val="32"/>
        </w:rPr>
        <w:t>次认定方案及奖惩方案等。</w:t>
      </w:r>
    </w:p>
    <w:p w14:paraId="01FF4793">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（3）负责绩效评价的日常工作，包括宣传、沟通、协调等。</w:t>
      </w:r>
    </w:p>
    <w:p w14:paraId="1D083075">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（4）根据评价结果撰写绩效评价报告，并递交给领导小组。</w:t>
      </w:r>
    </w:p>
    <w:p w14:paraId="71B1BCDB">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3.具体执行人员职责：</w:t>
      </w:r>
    </w:p>
    <w:p w14:paraId="0BCA53DE">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（1）组长：审批绩效自评方案，监督、检查、核实绩效自评结果。</w:t>
      </w:r>
    </w:p>
    <w:p w14:paraId="7AB26118">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（2）副组长：审核修改拟定的绩效自评方案，并提交考评工作组会议讨论通过；监督、部署、确认绩效自评过程及反馈意见的处理。</w:t>
      </w:r>
    </w:p>
    <w:p w14:paraId="3A60B800">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14:paraId="5653CB41">
      <w:pPr>
        <w:adjustRightInd w:val="0"/>
        <w:snapToGrid w:val="0"/>
        <w:spacing w:line="578"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三、绩效分析</w:t>
      </w:r>
      <w:r>
        <w:rPr>
          <w:rFonts w:hint="eastAsia" w:ascii="仿宋_GB2312" w:hAnsi="仿宋_GB2312" w:eastAsia="仿宋_GB2312" w:cs="仿宋_GB2312"/>
          <w:sz w:val="32"/>
          <w:szCs w:val="32"/>
          <w:lang w:val="zh-CN"/>
        </w:rPr>
        <w:tab/>
      </w:r>
    </w:p>
    <w:p w14:paraId="062F4E27">
      <w:pPr>
        <w:spacing w:line="578"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zh-CN"/>
        </w:rPr>
        <w:t>（一）</w:t>
      </w:r>
      <w:r>
        <w:rPr>
          <w:rFonts w:hint="eastAsia" w:ascii="仿宋_GB2312" w:hAnsi="仿宋_GB2312" w:eastAsia="仿宋_GB2312" w:cs="仿宋_GB2312"/>
          <w:b/>
          <w:sz w:val="32"/>
          <w:szCs w:val="32"/>
        </w:rPr>
        <w:t>通用指标</w:t>
      </w:r>
      <w:r>
        <w:rPr>
          <w:rFonts w:hint="eastAsia" w:ascii="仿宋_GB2312" w:hAnsi="仿宋_GB2312" w:eastAsia="仿宋_GB2312" w:cs="仿宋_GB2312"/>
          <w:b/>
          <w:bCs/>
          <w:color w:val="000000"/>
          <w:kern w:val="0"/>
          <w:sz w:val="32"/>
          <w:szCs w:val="32"/>
          <w:shd w:val="clear" w:color="auto" w:fill="FFFFFF"/>
          <w:lang w:val="zh-CN"/>
        </w:rPr>
        <w:t>绩效分析。</w:t>
      </w:r>
    </w:p>
    <w:p w14:paraId="3316DFEC">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1.项目决策。</w:t>
      </w:r>
    </w:p>
    <w:p w14:paraId="315F7B3F">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（1）决策程序</w:t>
      </w:r>
    </w:p>
    <w:p w14:paraId="55B28788">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项目设立、调整延续等方面符合资金管理基本规范和决策程序要求，该项指标得分6分。</w:t>
      </w:r>
    </w:p>
    <w:p w14:paraId="0E1FE7EC">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（2）规划论证</w:t>
      </w:r>
    </w:p>
    <w:p w14:paraId="132A7D1F">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规划符合中央、省委省政府有关决策部署安排，项目充分评估论证了立项必要性、前瞻性、合理性和可行性。项目总体绩效目标设置合理性的偏离度≤15%，绩效目标科学合理、规范完整、量化细化、预算匹配，</w:t>
      </w:r>
      <w:r>
        <w:rPr>
          <w:rFonts w:hint="eastAsia" w:ascii="仿宋_GB2312" w:hAnsi="仿宋_GB2312" w:eastAsia="仿宋_GB2312" w:cs="仿宋_GB2312"/>
          <w:kern w:val="0"/>
          <w:sz w:val="32"/>
          <w:szCs w:val="32"/>
          <w:lang w:eastAsia="zh-CN"/>
        </w:rPr>
        <w:t>但存在绩效目标编制不完整的情况，</w:t>
      </w:r>
      <w:r>
        <w:rPr>
          <w:rFonts w:hint="eastAsia" w:ascii="仿宋_GB2312" w:hAnsi="仿宋_GB2312" w:eastAsia="仿宋_GB2312" w:cs="仿宋_GB2312"/>
          <w:kern w:val="0"/>
          <w:sz w:val="32"/>
          <w:szCs w:val="32"/>
        </w:rPr>
        <w:t>该项指标得分</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分。</w:t>
      </w:r>
    </w:p>
    <w:p w14:paraId="2D57F177">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（3）资金投向</w:t>
      </w:r>
    </w:p>
    <w:p w14:paraId="1063E19C">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项目属于政府支持范围，且符合财政事权支出责任划分规定，资金投向与项目总体规划、相关行业事业发展相匹配，聚焦重大任务、重点领域、重点环节和重点项目，体现“集中</w:t>
      </w:r>
      <w:r>
        <w:rPr>
          <w:rFonts w:hint="eastAsia" w:ascii="仿宋_GB2312" w:hAnsi="仿宋_GB2312" w:eastAsia="仿宋_GB2312" w:cs="仿宋_GB2312"/>
          <w:kern w:val="0"/>
          <w:sz w:val="32"/>
          <w:szCs w:val="32"/>
          <w:lang w:eastAsia="zh-CN"/>
        </w:rPr>
        <w:t>力量</w:t>
      </w:r>
      <w:r>
        <w:rPr>
          <w:rFonts w:hint="eastAsia" w:ascii="仿宋_GB2312" w:hAnsi="仿宋_GB2312" w:eastAsia="仿宋_GB2312" w:cs="仿宋_GB2312"/>
          <w:kern w:val="0"/>
          <w:sz w:val="32"/>
          <w:szCs w:val="32"/>
        </w:rPr>
        <w:t>办大事”原则，避免“撒胡椒面”，未与其他同类项目或部门内部相关项目交叉重复，该项指标得分6分。</w:t>
      </w:r>
    </w:p>
    <w:p w14:paraId="4919F849">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2.项目管理。</w:t>
      </w:r>
    </w:p>
    <w:p w14:paraId="183B3E9B">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（1）制度办法</w:t>
      </w:r>
    </w:p>
    <w:p w14:paraId="3FBE071B">
      <w:pPr>
        <w:adjustRightInd w:val="0"/>
        <w:snapToGrid w:val="0"/>
        <w:spacing w:line="578"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资金管理办法等管理制度体系健全完善，不存在管理制度缺失、管理办法过期情况</w:t>
      </w:r>
      <w:r>
        <w:rPr>
          <w:rFonts w:hint="eastAsia" w:ascii="仿宋_GB2312" w:hAnsi="仿宋_GB2312" w:eastAsia="仿宋_GB2312" w:cs="仿宋_GB2312"/>
          <w:kern w:val="0"/>
          <w:sz w:val="32"/>
          <w:szCs w:val="32"/>
        </w:rPr>
        <w:t>，该项指标得分</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分</w:t>
      </w:r>
      <w:r>
        <w:rPr>
          <w:rFonts w:hint="eastAsia" w:ascii="仿宋_GB2312" w:hAnsi="仿宋_GB2312" w:eastAsia="仿宋_GB2312" w:cs="仿宋_GB2312"/>
          <w:kern w:val="0"/>
          <w:sz w:val="32"/>
          <w:szCs w:val="32"/>
          <w:lang w:eastAsia="zh-CN"/>
        </w:rPr>
        <w:t>。</w:t>
      </w:r>
    </w:p>
    <w:p w14:paraId="6EBB003F">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（2）分配管理</w:t>
      </w:r>
    </w:p>
    <w:p w14:paraId="27CC6963">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10分。</w:t>
      </w:r>
    </w:p>
    <w:p w14:paraId="5667AEBC">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（3）绩效监管</w:t>
      </w:r>
    </w:p>
    <w:p w14:paraId="7D04DEA6">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按中央、省委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14:paraId="5883F25D">
      <w:pPr>
        <w:spacing w:line="578" w:lineRule="exact"/>
        <w:ind w:left="420" w:left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3.项目实施。围绕、进行绩效分析。</w:t>
      </w:r>
    </w:p>
    <w:p w14:paraId="6FEBFA33">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（1）预算执行</w:t>
      </w:r>
    </w:p>
    <w:p w14:paraId="2A1FC416">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财政资金已按照要求拨付完毕，拨付率100%，该项指标得分=财政资金拨付率×100%×6=6分。</w:t>
      </w:r>
    </w:p>
    <w:p w14:paraId="2F43F6F4">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（2）资金使用</w:t>
      </w:r>
    </w:p>
    <w:p w14:paraId="7B37639F">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14:paraId="72FCC9A4">
      <w:pPr>
        <w:spacing w:line="578" w:lineRule="exact"/>
        <w:ind w:left="420" w:left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4.项目结果。</w:t>
      </w:r>
    </w:p>
    <w:p w14:paraId="45346904">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（1）目标完成</w:t>
      </w:r>
    </w:p>
    <w:p w14:paraId="22275D07">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项目完成预期目标，实施结果与绩效目标相匹配，该项指标得分6分。</w:t>
      </w:r>
    </w:p>
    <w:p w14:paraId="071D69D0">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（2）完成时效</w:t>
      </w:r>
    </w:p>
    <w:p w14:paraId="2AF996AD">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项目实际完成时间与计划完成时间相符，该项指标得分3分。</w:t>
      </w:r>
    </w:p>
    <w:p w14:paraId="2F1B187D">
      <w:pPr>
        <w:spacing w:line="578" w:lineRule="exact"/>
        <w:ind w:firstLine="643"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（二）</w:t>
      </w:r>
      <w:r>
        <w:rPr>
          <w:rFonts w:hint="eastAsia" w:ascii="仿宋_GB2312" w:hAnsi="仿宋_GB2312" w:eastAsia="仿宋_GB2312" w:cs="仿宋_GB2312"/>
          <w:b/>
          <w:sz w:val="32"/>
          <w:szCs w:val="32"/>
        </w:rPr>
        <w:t>专用指标</w:t>
      </w:r>
      <w:r>
        <w:rPr>
          <w:rFonts w:hint="eastAsia" w:ascii="仿宋_GB2312" w:hAnsi="仿宋_GB2312" w:eastAsia="仿宋_GB2312" w:cs="仿宋_GB2312"/>
          <w:b/>
          <w:bCs/>
          <w:color w:val="000000"/>
          <w:kern w:val="0"/>
          <w:sz w:val="32"/>
          <w:szCs w:val="32"/>
          <w:shd w:val="clear" w:color="auto" w:fill="FFFFFF"/>
          <w:lang w:val="zh-CN"/>
        </w:rPr>
        <w:t>绩效分析。</w:t>
      </w:r>
    </w:p>
    <w:p w14:paraId="1EDB6224">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民生保障。</w:t>
      </w:r>
    </w:p>
    <w:p w14:paraId="61812D5A">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资金分配科学合理、均衡公平，资金实际支持对象符合管理要求，符合支持对象范围，资金实际补贴标准符合资金管理办法规定的补助标准，及时按标准兑现，</w:t>
      </w:r>
      <w:r>
        <w:rPr>
          <w:rFonts w:hint="eastAsia" w:ascii="仿宋_GB2312" w:hAnsi="仿宋_GB2312" w:eastAsia="仿宋_GB2312" w:cs="仿宋_GB2312"/>
          <w:kern w:val="0"/>
          <w:sz w:val="32"/>
          <w:szCs w:val="32"/>
          <w:lang w:eastAsia="zh-CN"/>
        </w:rPr>
        <w:t>民众</w:t>
      </w:r>
      <w:r>
        <w:rPr>
          <w:rFonts w:hint="eastAsia" w:ascii="仿宋_GB2312" w:hAnsi="仿宋_GB2312" w:eastAsia="仿宋_GB2312" w:cs="仿宋_GB2312"/>
          <w:kern w:val="0"/>
          <w:sz w:val="32"/>
          <w:szCs w:val="32"/>
        </w:rPr>
        <w:t>满意度较高，该项指标得分30分。</w:t>
      </w:r>
    </w:p>
    <w:p w14:paraId="126D0D1C">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（三）</w:t>
      </w:r>
      <w:r>
        <w:rPr>
          <w:rFonts w:hint="eastAsia" w:ascii="仿宋_GB2312" w:hAnsi="仿宋_GB2312" w:eastAsia="仿宋_GB2312" w:cs="仿宋_GB2312"/>
          <w:b/>
          <w:sz w:val="32"/>
          <w:szCs w:val="32"/>
        </w:rPr>
        <w:t>个性指标</w:t>
      </w:r>
      <w:r>
        <w:rPr>
          <w:rFonts w:hint="eastAsia" w:ascii="仿宋_GB2312" w:hAnsi="仿宋_GB2312" w:eastAsia="仿宋_GB2312" w:cs="仿宋_GB2312"/>
          <w:b/>
          <w:bCs/>
          <w:color w:val="000000"/>
          <w:kern w:val="0"/>
          <w:sz w:val="32"/>
          <w:szCs w:val="32"/>
          <w:shd w:val="clear" w:color="auto" w:fill="FFFFFF"/>
          <w:lang w:val="zh-CN"/>
        </w:rPr>
        <w:t>绩效分析。</w:t>
      </w:r>
    </w:p>
    <w:p w14:paraId="420DAD95">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项目已如期建成，资金已按期拨付</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项目实施后</w:t>
      </w:r>
      <w:r>
        <w:rPr>
          <w:rFonts w:hint="eastAsia" w:ascii="仿宋_GB2312" w:hAnsi="仿宋_GB2312" w:eastAsia="仿宋_GB2312" w:cs="仿宋_GB2312"/>
          <w:kern w:val="0"/>
          <w:sz w:val="32"/>
          <w:szCs w:val="32"/>
          <w:lang w:eastAsia="zh-CN"/>
        </w:rPr>
        <w:t>已</w:t>
      </w:r>
      <w:r>
        <w:rPr>
          <w:rFonts w:hint="eastAsia" w:ascii="仿宋_GB2312" w:hAnsi="仿宋_GB2312" w:eastAsia="仿宋_GB2312" w:cs="仿宋_GB2312"/>
          <w:kern w:val="0"/>
          <w:sz w:val="32"/>
          <w:szCs w:val="32"/>
        </w:rPr>
        <w:t>达到预期效果，该项指标得分16分。</w:t>
      </w:r>
    </w:p>
    <w:p w14:paraId="183B8BF6">
      <w:pPr>
        <w:pStyle w:val="4"/>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四、评价结论</w:t>
      </w:r>
    </w:p>
    <w:p w14:paraId="2CA94A95">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我单位严格按照绩效自评工作要求，秉承客观公正、实事求是的原则开展了</w:t>
      </w:r>
      <w:r>
        <w:rPr>
          <w:rFonts w:hint="eastAsia" w:ascii="仿宋_GB2312" w:hAnsi="仿宋_GB2312" w:eastAsia="仿宋_GB2312" w:cs="仿宋_GB2312"/>
          <w:kern w:val="0"/>
          <w:sz w:val="32"/>
          <w:szCs w:val="32"/>
          <w:lang w:eastAsia="zh-CN"/>
        </w:rPr>
        <w:t>城区路灯电费及光彩工程电费项目</w:t>
      </w:r>
      <w:r>
        <w:rPr>
          <w:rFonts w:hint="eastAsia" w:ascii="仿宋_GB2312" w:hAnsi="仿宋_GB2312" w:eastAsia="仿宋_GB2312" w:cs="仿宋_GB2312"/>
          <w:kern w:val="0"/>
          <w:sz w:val="32"/>
          <w:szCs w:val="32"/>
        </w:rPr>
        <w:t>支出绩效自评工作，经对各类指标进行评分和汇总分析，20</w:t>
      </w:r>
      <w:r>
        <w:rPr>
          <w:rFonts w:hint="eastAsia" w:ascii="仿宋_GB2312" w:hAnsi="仿宋_GB2312" w:eastAsia="仿宋_GB2312" w:cs="仿宋_GB2312"/>
          <w:kern w:val="0"/>
          <w:sz w:val="32"/>
          <w:szCs w:val="32"/>
          <w:lang w:val="en-US" w:eastAsia="zh-CN"/>
        </w:rPr>
        <w:t>24</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eastAsia="zh-CN"/>
        </w:rPr>
        <w:t>城区路灯电费及光彩工程电费项目</w:t>
      </w:r>
      <w:r>
        <w:rPr>
          <w:rFonts w:hint="eastAsia" w:ascii="仿宋_GB2312" w:hAnsi="仿宋_GB2312" w:eastAsia="仿宋_GB2312" w:cs="仿宋_GB2312"/>
          <w:kern w:val="0"/>
          <w:sz w:val="32"/>
          <w:szCs w:val="32"/>
        </w:rPr>
        <w:t>支出绩效评价综合得分</w:t>
      </w:r>
      <w:r>
        <w:rPr>
          <w:rFonts w:hint="eastAsia" w:ascii="仿宋_GB2312" w:hAnsi="仿宋_GB2312" w:eastAsia="仿宋_GB2312" w:cs="仿宋_GB2312"/>
          <w:kern w:val="0"/>
          <w:sz w:val="32"/>
          <w:szCs w:val="32"/>
          <w:lang w:val="en-US" w:eastAsia="zh-CN"/>
        </w:rPr>
        <w:t>97</w:t>
      </w:r>
      <w:r>
        <w:rPr>
          <w:rFonts w:hint="eastAsia" w:ascii="仿宋_GB2312" w:hAnsi="仿宋_GB2312" w:eastAsia="仿宋_GB2312" w:cs="仿宋_GB2312"/>
          <w:kern w:val="0"/>
          <w:sz w:val="32"/>
          <w:szCs w:val="32"/>
        </w:rPr>
        <w:t>分。评价结果显示，20</w:t>
      </w:r>
      <w:r>
        <w:rPr>
          <w:rFonts w:hint="eastAsia" w:ascii="仿宋_GB2312" w:hAnsi="仿宋_GB2312" w:eastAsia="仿宋_GB2312" w:cs="仿宋_GB2312"/>
          <w:kern w:val="0"/>
          <w:sz w:val="32"/>
          <w:szCs w:val="32"/>
          <w:lang w:val="en-US" w:eastAsia="zh-CN"/>
        </w:rPr>
        <w:t>24</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eastAsia="zh-CN"/>
        </w:rPr>
        <w:t>城区路灯电费及光彩工程电费项目</w:t>
      </w:r>
      <w:r>
        <w:rPr>
          <w:rFonts w:hint="eastAsia" w:ascii="仿宋_GB2312" w:hAnsi="仿宋_GB2312" w:eastAsia="仿宋_GB2312" w:cs="仿宋_GB2312"/>
          <w:kern w:val="0"/>
          <w:sz w:val="32"/>
          <w:szCs w:val="32"/>
        </w:rPr>
        <w:t>按照相关规定进行使用和管理，程序较为规范，项目支出使用效益达到预期。</w:t>
      </w:r>
    </w:p>
    <w:p w14:paraId="052379AD">
      <w:pPr>
        <w:pStyle w:val="4"/>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五、存在主要问题</w:t>
      </w:r>
    </w:p>
    <w:p w14:paraId="34197D4D">
      <w:pPr>
        <w:adjustRightInd w:val="0"/>
        <w:snapToGrid w:val="0"/>
        <w:spacing w:line="578"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绩效目标编制不够完整</w:t>
      </w:r>
    </w:p>
    <w:p w14:paraId="3151136E">
      <w:pPr>
        <w:adjustRightInd w:val="0"/>
        <w:snapToGrid w:val="0"/>
        <w:spacing w:line="578"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根据项目单位提供的《项目绩效目标申报表》，绩效目标申报表整体框架完成，内容充分，指标设置内容基本完整反映了项目建设情况，但存在绩效目标编制不完整的情况，未设置质量指标和成本指标。</w:t>
      </w:r>
    </w:p>
    <w:p w14:paraId="0250ADEF">
      <w:pPr>
        <w:pStyle w:val="4"/>
        <w:spacing w:line="60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六、改进建议</w:t>
      </w:r>
    </w:p>
    <w:p w14:paraId="2B157BEF">
      <w:pPr>
        <w:adjustRightInd w:val="0"/>
        <w:snapToGrid w:val="0"/>
        <w:spacing w:line="578" w:lineRule="exact"/>
        <w:ind w:firstLine="640" w:firstLineChars="200"/>
        <w:rPr>
          <w:rFonts w:hint="eastAsia" w:ascii="仿宋_GB2312" w:hAnsi="仿宋_GB2312" w:eastAsia="仿宋_GB2312" w:cs="仿宋_GB2312"/>
          <w:kern w:val="0"/>
          <w:sz w:val="32"/>
          <w:szCs w:val="32"/>
          <w:lang w:val="en-US" w:eastAsia="zh-CN"/>
        </w:rPr>
      </w:pPr>
      <w:bookmarkStart w:id="0" w:name="_Toc14987"/>
      <w:bookmarkStart w:id="1" w:name="_Hlk110546638"/>
      <w:r>
        <w:rPr>
          <w:rFonts w:hint="eastAsia" w:ascii="仿宋_GB2312" w:hAnsi="仿宋_GB2312" w:eastAsia="仿宋_GB2312" w:cs="仿宋_GB2312"/>
          <w:kern w:val="0"/>
          <w:sz w:val="32"/>
          <w:szCs w:val="32"/>
          <w:lang w:val="en-US" w:eastAsia="zh-CN"/>
        </w:rPr>
        <w:t>强化预算绩效管理意识，提高绩效管理水平</w:t>
      </w:r>
      <w:bookmarkEnd w:id="0"/>
    </w:p>
    <w:p w14:paraId="40FBB736">
      <w:pPr>
        <w:adjustRightInd w:val="0"/>
        <w:snapToGrid w:val="0"/>
        <w:spacing w:line="578" w:lineRule="exact"/>
        <w:ind w:firstLine="640" w:firstLineChars="200"/>
        <w:rPr>
          <w:rFonts w:hint="eastAsia" w:ascii="仿宋_GB2312" w:hAnsi="仿宋_GB2312" w:eastAsia="仿宋_GB2312" w:cs="仿宋_GB2312"/>
          <w:kern w:val="0"/>
          <w:sz w:val="32"/>
          <w:szCs w:val="32"/>
          <w:lang w:val="en" w:eastAsia="zh-CN"/>
        </w:rPr>
      </w:pPr>
      <w:r>
        <w:rPr>
          <w:rFonts w:hint="eastAsia" w:ascii="仿宋_GB2312" w:hAnsi="仿宋_GB2312" w:eastAsia="仿宋_GB2312" w:cs="仿宋_GB2312"/>
          <w:kern w:val="0"/>
          <w:sz w:val="32"/>
          <w:szCs w:val="32"/>
          <w:lang w:val="en-US" w:eastAsia="zh-CN"/>
        </w:rPr>
        <w:t>建议项目坚持绩效导向，牢固树立“花钱必问效、无效必问责”的绩效意识，根据项目实施方案等资料，及时按照指向明确、细化量化、合理可行、相应匹配的要求设定绩效目标，按照高度关联、重点突出、量化易评的要求设置绩效指标，合理确定指标值，全面反映产出、效益和成本等绩效信息，强化绩效目标引领作用。</w:t>
      </w:r>
    </w:p>
    <w:bookmarkEnd w:id="1"/>
    <w:p w14:paraId="07896725">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附表：1.专项预算绩效自评打分表</w:t>
      </w:r>
    </w:p>
    <w:p w14:paraId="733CFBFD">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2.专项预算绩效自评实地踏勘点位清单表</w:t>
      </w:r>
    </w:p>
    <w:p w14:paraId="3AB0DA2F">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3.专项预算项目绩效目标完成情况自评表</w:t>
      </w:r>
    </w:p>
    <w:p w14:paraId="788E91DA">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45012A66">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4D32470B">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1D4840E5">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49C9A6E8">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74EFDB8E">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05C2D9BD">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0"/>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766"/>
        <w:gridCol w:w="1188"/>
        <w:gridCol w:w="712"/>
        <w:gridCol w:w="5550"/>
        <w:gridCol w:w="732"/>
        <w:gridCol w:w="468"/>
      </w:tblGrid>
      <w:tr w14:paraId="6BE0C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4151" w:type="dxa"/>
            <w:gridSpan w:val="5"/>
            <w:tcBorders>
              <w:top w:val="single" w:color="000000" w:sz="4" w:space="0"/>
              <w:left w:val="single" w:color="000000" w:sz="4" w:space="0"/>
              <w:bottom w:val="nil"/>
              <w:right w:val="nil"/>
            </w:tcBorders>
            <w:noWrap w:val="0"/>
            <w:vAlign w:val="center"/>
          </w:tcPr>
          <w:p w14:paraId="19C824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550" w:type="dxa"/>
            <w:vMerge w:val="restart"/>
            <w:tcBorders>
              <w:top w:val="single" w:color="000000" w:sz="4" w:space="0"/>
              <w:left w:val="single" w:color="000000" w:sz="4" w:space="0"/>
              <w:bottom w:val="single" w:color="000000" w:sz="4" w:space="0"/>
              <w:right w:val="single" w:color="000000" w:sz="4" w:space="0"/>
            </w:tcBorders>
            <w:noWrap w:val="0"/>
            <w:vAlign w:val="center"/>
          </w:tcPr>
          <w:p w14:paraId="02EE69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14:paraId="6316D5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14:paraId="074ED0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14:paraId="11BEB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F0BB6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31" w:type="dxa"/>
            <w:gridSpan w:val="2"/>
            <w:tcBorders>
              <w:top w:val="single" w:color="000000" w:sz="4" w:space="0"/>
              <w:left w:val="single" w:color="000000" w:sz="4" w:space="0"/>
              <w:bottom w:val="single" w:color="000000" w:sz="4" w:space="0"/>
              <w:right w:val="single" w:color="000000" w:sz="4" w:space="0"/>
            </w:tcBorders>
            <w:noWrap w:val="0"/>
            <w:vAlign w:val="center"/>
          </w:tcPr>
          <w:p w14:paraId="3934B9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672CC6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7A97E1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5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AD7DAC">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14:paraId="54CDBB69">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14:paraId="303443DD">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14:paraId="3D016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27A6EA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109EA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63BBDA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680C3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523556B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60BCDE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35C3DD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26E8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D14D7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729D1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202FD2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0CC05C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6C5072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eastAsia" w:ascii="仿宋_GB2312" w:hAnsi="仿宋_GB2312" w:eastAsia="仿宋_GB2312" w:cs="仿宋_GB2312"/>
                <w:kern w:val="0"/>
                <w:sz w:val="32"/>
                <w:szCs w:val="32"/>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bookmarkStart w:id="2" w:name="_GoBack"/>
            <w:bookmarkEnd w:id="2"/>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A7017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0F72F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CD09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86359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1AF68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BE375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3EFB13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1DF12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35AE92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79C33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F69A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3D728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74FC2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652F8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33986F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5785DB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FD853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8034DD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9BCC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CD716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71C0F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4694C8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714828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50904E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72874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62A1DE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FAAF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8C422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1B10C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71E63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7B6061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0E07CF9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CAC0F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94A0A6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5DA3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73A75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FD4E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61C41E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800D0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3846B0E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9E02BD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E7D48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E078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C58AE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DFDB1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39628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3F9751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35472B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0CA1F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ED75A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51A7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35538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F4330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3A4A3F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410912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0179E15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6E2C5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1230CE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B3EF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9AA34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B31EC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511A15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45F4D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085051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41C77E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94451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E249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4F2C18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8D72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0DFE6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3564F6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1C875E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B6688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A6CC9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7594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39B51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AE601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5509A2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F0C27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56C528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C209CA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5F6AA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A257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552B5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241E5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442A55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683267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0DD0AB9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812B2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1C062E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2A06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B3C73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D0C3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25B571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274274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33A183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1D2AA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0007F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1D73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AD46E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54578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1B20F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4EDD60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77F64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DE3DC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2C20A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B9C6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EA58D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B5F2F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73CF0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57C0C8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4E026E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BB87A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1C0C0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A3DE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AA4D3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F50B9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3DC2A4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579327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1C457A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EAFA4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607AE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1E80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75F06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1AF3C9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766" w:type="dxa"/>
            <w:vMerge w:val="restart"/>
            <w:tcBorders>
              <w:top w:val="single" w:color="000000" w:sz="4" w:space="0"/>
              <w:left w:val="single" w:color="000000" w:sz="4" w:space="0"/>
              <w:bottom w:val="single" w:color="000000" w:sz="4" w:space="0"/>
              <w:right w:val="single" w:color="000000" w:sz="4" w:space="0"/>
            </w:tcBorders>
            <w:noWrap w:val="0"/>
            <w:vAlign w:val="center"/>
          </w:tcPr>
          <w:p w14:paraId="7C247D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EA83A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DFF01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4B6674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44E190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9D1936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20C7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18AE0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15969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6AD80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1EB50E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0FBF2B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DE90D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FEDFBE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80203E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8A39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F6317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5833C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6" w:type="dxa"/>
            <w:vMerge w:val="restart"/>
            <w:tcBorders>
              <w:top w:val="single" w:color="000000" w:sz="4" w:space="0"/>
              <w:left w:val="single" w:color="000000" w:sz="4" w:space="0"/>
              <w:bottom w:val="single" w:color="000000" w:sz="4" w:space="0"/>
              <w:right w:val="single" w:color="000000" w:sz="4" w:space="0"/>
            </w:tcBorders>
            <w:noWrap w:val="0"/>
            <w:vAlign w:val="center"/>
          </w:tcPr>
          <w:p w14:paraId="5AD18D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63B394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0A1719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2B29D0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B08D2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B1A91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A19E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73467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12C84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D8B9C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2D12F6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5A1DD6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1A8B25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94A1B0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B47C3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8BE9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4EEEF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E4D33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7DDD6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18A704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34985E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409CB39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7885D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EABD2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1B97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25075F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3F524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188" w:type="dxa"/>
            <w:tcBorders>
              <w:top w:val="nil"/>
              <w:left w:val="single" w:color="000000" w:sz="4" w:space="0"/>
              <w:bottom w:val="single" w:color="000000" w:sz="4" w:space="0"/>
              <w:right w:val="single" w:color="000000" w:sz="4" w:space="0"/>
            </w:tcBorders>
            <w:noWrap w:val="0"/>
            <w:vAlign w:val="center"/>
          </w:tcPr>
          <w:p w14:paraId="58E035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712" w:type="dxa"/>
            <w:tcBorders>
              <w:top w:val="nil"/>
              <w:left w:val="single" w:color="000000" w:sz="4" w:space="0"/>
              <w:bottom w:val="single" w:color="000000" w:sz="4" w:space="0"/>
              <w:right w:val="single" w:color="000000" w:sz="4" w:space="0"/>
            </w:tcBorders>
            <w:noWrap w:val="0"/>
            <w:vAlign w:val="center"/>
          </w:tcPr>
          <w:p w14:paraId="722ECD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nil"/>
              <w:left w:val="single" w:color="000000" w:sz="4" w:space="0"/>
              <w:bottom w:val="single" w:color="000000" w:sz="4" w:space="0"/>
              <w:right w:val="single" w:color="000000" w:sz="4" w:space="0"/>
            </w:tcBorders>
            <w:noWrap w:val="0"/>
            <w:vAlign w:val="center"/>
          </w:tcPr>
          <w:p w14:paraId="21F1BE8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14:paraId="6F37790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nil"/>
              <w:left w:val="single" w:color="000000" w:sz="4" w:space="0"/>
              <w:bottom w:val="single" w:color="000000" w:sz="4" w:space="0"/>
              <w:right w:val="single" w:color="000000" w:sz="4" w:space="0"/>
            </w:tcBorders>
            <w:noWrap w:val="0"/>
            <w:vAlign w:val="center"/>
          </w:tcPr>
          <w:p w14:paraId="717F0A6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E730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D4E4F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55E87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nil"/>
              <w:left w:val="single" w:color="000000" w:sz="4" w:space="0"/>
              <w:bottom w:val="single" w:color="000000" w:sz="4" w:space="0"/>
              <w:right w:val="single" w:color="000000" w:sz="4" w:space="0"/>
            </w:tcBorders>
            <w:noWrap w:val="0"/>
            <w:vAlign w:val="center"/>
          </w:tcPr>
          <w:p w14:paraId="2F99A5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712" w:type="dxa"/>
            <w:tcBorders>
              <w:top w:val="nil"/>
              <w:left w:val="single" w:color="000000" w:sz="4" w:space="0"/>
              <w:bottom w:val="single" w:color="000000" w:sz="4" w:space="0"/>
              <w:right w:val="single" w:color="000000" w:sz="4" w:space="0"/>
            </w:tcBorders>
            <w:noWrap w:val="0"/>
            <w:vAlign w:val="center"/>
          </w:tcPr>
          <w:p w14:paraId="4FC42B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212766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38506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658D1C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D896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86AA2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A46BD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nil"/>
              <w:left w:val="single" w:color="000000" w:sz="4" w:space="0"/>
              <w:bottom w:val="single" w:color="000000" w:sz="4" w:space="0"/>
              <w:right w:val="single" w:color="000000" w:sz="4" w:space="0"/>
            </w:tcBorders>
            <w:noWrap w:val="0"/>
            <w:vAlign w:val="center"/>
          </w:tcPr>
          <w:p w14:paraId="0C48DC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712" w:type="dxa"/>
            <w:tcBorders>
              <w:top w:val="nil"/>
              <w:left w:val="single" w:color="000000" w:sz="4" w:space="0"/>
              <w:bottom w:val="single" w:color="000000" w:sz="4" w:space="0"/>
              <w:right w:val="single" w:color="000000" w:sz="4" w:space="0"/>
            </w:tcBorders>
            <w:noWrap w:val="0"/>
            <w:vAlign w:val="center"/>
          </w:tcPr>
          <w:p w14:paraId="67058F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0BC6CB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F6E72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E91A9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3F2A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51"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C7E04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194FA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执行进度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6E3F6A8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69DA45FE">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项目是否如期完成。</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8FE73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ACF368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E201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51"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BDFE07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54AA04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资金拨付进度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43ABF0E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4ED3AFA0">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资金是否按期拨付。</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E778161">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79616D1">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14:paraId="64918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51"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EB3036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F0C6D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项目效果</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64875E7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0CC1D404">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项目实施后是否达到预期效果。</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3260AE0">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4AC03EB">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14:paraId="0DA2F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51" w:type="dxa"/>
            <w:gridSpan w:val="3"/>
            <w:tcBorders>
              <w:top w:val="single" w:color="000000" w:sz="4" w:space="0"/>
              <w:left w:val="single" w:color="000000" w:sz="4" w:space="0"/>
              <w:bottom w:val="single" w:color="000000" w:sz="4" w:space="0"/>
              <w:right w:val="single" w:color="000000" w:sz="4" w:space="0"/>
            </w:tcBorders>
            <w:noWrap w:val="0"/>
            <w:vAlign w:val="center"/>
          </w:tcPr>
          <w:p w14:paraId="3B6F77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4CE0FD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47A985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57E715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7D44E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9E382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14:paraId="4CF480FB">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14:paraId="24425E71">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14:paraId="06A97382">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11"/>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14:paraId="3D497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C2642E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14:paraId="6D6ED9E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14:paraId="2323435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14:paraId="1A992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665628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14:paraId="0CBCDF5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黑水县市政公用服务中心</w:t>
            </w:r>
          </w:p>
        </w:tc>
        <w:tc>
          <w:tcPr>
            <w:tcW w:w="905" w:type="dxa"/>
            <w:noWrap w:val="0"/>
            <w:vAlign w:val="top"/>
          </w:tcPr>
          <w:p w14:paraId="501DDC1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9621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4DD2B2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14:paraId="1EA7422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07D00C85">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AA30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9B317A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14:paraId="1035AFA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2DADD38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C043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649ECD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14:paraId="0093DF7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50B55F1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6C1E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45C6B5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14:paraId="7876F59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1B38A87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AB14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0393FF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14:paraId="09107EB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256498F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4D17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5010CF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14:paraId="11763E0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0420AFF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F7E2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D5CE04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14:paraId="1C97FA9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14:paraId="78080A3B">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4050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06A639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14:paraId="23B08B6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704ADC1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9B52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121FC0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14:paraId="33C462D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2FC0A16B">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1235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386EDB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14:paraId="553801D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7CE100C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80C4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49D654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14:paraId="1678CAA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1CC35F0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764A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0349F0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14:paraId="7347EA5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5AEB5E61">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772F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6463E8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14:paraId="56AF723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061C1B2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DADC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BF090E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14:paraId="1318F5A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4877D08E">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1161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3C3A4F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14:paraId="49F397A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47BFB785">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2D96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F079D8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14:paraId="0DE3925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68F5D49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7B9E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C3CA64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14:paraId="1561BCD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51AA4F2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3EF4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D7588C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14:paraId="6C01B30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14:paraId="637DBDD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F7F4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6CAD05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14:paraId="49481919">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24E0EE5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14:paraId="293CF3D0">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14:paraId="7DA7B12F">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3931B40E">
      <w:pPr>
        <w:keepNext w:val="0"/>
        <w:keepLines w:val="0"/>
        <w:pageBreakBefore w:val="0"/>
        <w:kinsoku/>
        <w:wordWrap/>
        <w:overflowPunct/>
        <w:topLinePunct w:val="0"/>
        <w:autoSpaceDE/>
        <w:autoSpaceDN/>
        <w:bidi w:val="0"/>
        <w:adjustRightInd/>
        <w:snapToGrid w:val="0"/>
        <w:spacing w:line="578" w:lineRule="exact"/>
        <w:textAlignment w:val="auto"/>
        <w:outlineLvl w:val="9"/>
        <w:rPr>
          <w:rFonts w:ascii="仿宋_GB2312" w:hAnsi="仿宋_GB2312" w:cs="仿宋_GB2312"/>
          <w:kern w:val="0"/>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3</w:t>
      </w:r>
    </w:p>
    <w:tbl>
      <w:tblPr>
        <w:tblStyle w:val="10"/>
        <w:tblW w:w="10233" w:type="dxa"/>
        <w:jc w:val="center"/>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4832E584">
        <w:tblPrEx>
          <w:tblCellMar>
            <w:top w:w="15" w:type="dxa"/>
            <w:left w:w="15" w:type="dxa"/>
            <w:bottom w:w="15" w:type="dxa"/>
            <w:right w:w="15" w:type="dxa"/>
          </w:tblCellMar>
        </w:tblPrEx>
        <w:trPr>
          <w:trHeight w:val="576" w:hRule="atLeast"/>
          <w:jc w:val="center"/>
        </w:trPr>
        <w:tc>
          <w:tcPr>
            <w:tcW w:w="10233" w:type="dxa"/>
            <w:gridSpan w:val="9"/>
            <w:noWrap w:val="0"/>
            <w:vAlign w:val="center"/>
          </w:tcPr>
          <w:p w14:paraId="55458D8C">
            <w:pPr>
              <w:widowControl/>
              <w:spacing w:line="600" w:lineRule="exact"/>
              <w:jc w:val="center"/>
              <w:textAlignment w:val="center"/>
              <w:rPr>
                <w:rFonts w:ascii="黑体" w:hAnsi="宋体" w:eastAsia="黑体" w:cs="黑体"/>
                <w:color w:val="000000"/>
                <w:sz w:val="30"/>
                <w:szCs w:val="30"/>
              </w:rPr>
            </w:pPr>
            <w:r>
              <w:rPr>
                <w:rFonts w:hint="eastAsia" w:ascii="方正小标宋简体" w:hAnsi="方正小标宋简体" w:eastAsia="方正小标宋简体" w:cs="方正小标宋简体"/>
                <w:color w:val="000000"/>
                <w:kern w:val="0"/>
                <w:sz w:val="40"/>
                <w:szCs w:val="40"/>
                <w:lang w:bidi="ar"/>
              </w:rPr>
              <w:t>专项预算项目绩效目标完成情况自评表</w:t>
            </w:r>
          </w:p>
        </w:tc>
      </w:tr>
      <w:tr w14:paraId="328D54F4">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7A72FB6B">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B2E56BB">
            <w:pPr>
              <w:widowControl/>
              <w:spacing w:line="300" w:lineRule="exact"/>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eastAsia="zh-CN" w:bidi="ar"/>
              </w:rPr>
              <w:t>城区路灯电费及光彩工程电费项目</w:t>
            </w:r>
          </w:p>
        </w:tc>
      </w:tr>
      <w:tr w14:paraId="351C399C">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15A81AB1">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CD5E786">
            <w:pPr>
              <w:widowControl/>
              <w:spacing w:line="300" w:lineRule="exact"/>
              <w:jc w:val="left"/>
              <w:textAlignment w:val="center"/>
              <w:rPr>
                <w:rFonts w:hint="eastAsia"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eastAsia="zh-CN" w:bidi="ar"/>
              </w:rPr>
              <w:t>黑水县市政公用服务中心</w:t>
            </w:r>
          </w:p>
        </w:tc>
      </w:tr>
      <w:tr w14:paraId="35214EF0">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6FBB4C86">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46E3B68">
            <w:pPr>
              <w:widowControl/>
              <w:spacing w:line="300" w:lineRule="exact"/>
              <w:jc w:val="left"/>
              <w:textAlignment w:val="center"/>
              <w:rPr>
                <w:rFonts w:hint="eastAsia" w:eastAsia="仿宋_GB2312"/>
                <w:szCs w:val="28"/>
                <w:lang w:eastAsia="zh-CN"/>
              </w:rPr>
            </w:pPr>
            <w:r>
              <w:rPr>
                <w:rFonts w:hint="eastAsia" w:ascii="宋体" w:hAnsi="宋体" w:eastAsia="宋体" w:cs="宋体"/>
                <w:color w:val="000000"/>
                <w:kern w:val="0"/>
                <w:sz w:val="24"/>
                <w:szCs w:val="24"/>
                <w:lang w:eastAsia="zh-CN" w:bidi="ar"/>
              </w:rPr>
              <w:t>经常性项目</w:t>
            </w:r>
          </w:p>
        </w:tc>
      </w:tr>
      <w:tr w14:paraId="7A3AD6D0">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006470C">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8E2FE88">
            <w:pPr>
              <w:widowControl/>
              <w:spacing w:line="300" w:lineRule="exact"/>
              <w:jc w:val="left"/>
              <w:textAlignment w:val="center"/>
              <w:rPr>
                <w:rFonts w:ascii="宋体" w:hAnsi="宋体" w:eastAsia="宋体" w:cs="宋体"/>
                <w:color w:val="000000"/>
                <w:kern w:val="0"/>
                <w:sz w:val="24"/>
                <w:szCs w:val="24"/>
                <w:lang w:bidi="ar"/>
              </w:rPr>
            </w:pPr>
            <w:r>
              <w:rPr>
                <w:rFonts w:ascii="宋体" w:hAnsi="宋体" w:eastAsia="宋体" w:cs="宋体"/>
                <w:color w:val="000000"/>
                <w:kern w:val="0"/>
                <w:sz w:val="24"/>
                <w:szCs w:val="24"/>
                <w:lang w:bidi="ar"/>
              </w:rPr>
              <w:t>中长期规划</w:t>
            </w:r>
            <w:r>
              <w:rPr>
                <w:rFonts w:hint="eastAsia" w:ascii="宋体" w:hAnsi="宋体" w:eastAsia="宋体" w:cs="宋体"/>
                <w:color w:val="000000"/>
                <w:kern w:val="0"/>
                <w:sz w:val="24"/>
                <w:szCs w:val="24"/>
                <w:lang w:eastAsia="zh-CN" w:bidi="ar"/>
              </w:rPr>
              <w:t>（</w:t>
            </w:r>
            <w:r>
              <w:rPr>
                <w:rFonts w:ascii="宋体" w:hAnsi="宋体" w:eastAsia="宋体" w:cs="宋体"/>
                <w:color w:val="000000"/>
                <w:kern w:val="0"/>
                <w:sz w:val="24"/>
                <w:szCs w:val="24"/>
                <w:lang w:bidi="ar"/>
              </w:rPr>
              <w:t>名称、文号，仅指</w:t>
            </w:r>
          </w:p>
          <w:p w14:paraId="22F41596">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EAC0C4F">
            <w:pPr>
              <w:spacing w:line="300" w:lineRule="exact"/>
              <w:jc w:val="left"/>
              <w:rPr>
                <w:rFonts w:hint="eastAsia" w:ascii="宋体" w:hAnsi="宋体" w:eastAsia="宋体" w:cs="宋体"/>
                <w:color w:val="000000"/>
                <w:sz w:val="24"/>
                <w:szCs w:val="24"/>
              </w:rPr>
            </w:pPr>
            <w:r>
              <w:rPr>
                <w:rFonts w:hint="eastAsia" w:ascii="宋体" w:hAnsi="宋体" w:eastAsia="宋体" w:cs="宋体"/>
                <w:color w:val="000000"/>
                <w:sz w:val="24"/>
                <w:szCs w:val="24"/>
              </w:rPr>
              <w:t>无</w:t>
            </w:r>
          </w:p>
        </w:tc>
      </w:tr>
      <w:tr w14:paraId="72838FF7">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04E9CE">
            <w:pPr>
              <w:spacing w:line="300" w:lineRule="exact"/>
              <w:rPr>
                <w:rFonts w:hint="eastAsia" w:ascii="宋体" w:hAnsi="宋体" w:eastAsia="宋体" w:cs="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6488119">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91DD402">
            <w:pPr>
              <w:spacing w:line="30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无</w:t>
            </w:r>
          </w:p>
        </w:tc>
      </w:tr>
      <w:tr w14:paraId="7EF7D2F4">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9BE1F6">
            <w:pPr>
              <w:spacing w:line="300" w:lineRule="exact"/>
              <w:rPr>
                <w:rFonts w:hint="eastAsia" w:ascii="宋体" w:hAnsi="宋体" w:eastAsia="宋体" w:cs="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AA5C20D">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C0B3542">
            <w:pPr>
              <w:widowControl/>
              <w:spacing w:line="300" w:lineRule="exact"/>
              <w:jc w:val="left"/>
              <w:textAlignment w:val="center"/>
              <w:rPr>
                <w:rFonts w:ascii="Wingdings 2" w:hAnsi="Wingdings 2" w:eastAsia="Wingdings 2" w:cs="Wingdings 2"/>
                <w:color w:val="000000"/>
                <w:sz w:val="24"/>
                <w:szCs w:val="24"/>
              </w:rPr>
            </w:pPr>
            <w:r>
              <w:rPr>
                <w:rFonts w:ascii="Wingdings 2" w:hAnsi="Wingdings 2" w:eastAsia="Wingdings 2" w:cs="Wingdings 2"/>
                <w:color w:val="000000"/>
                <w:kern w:val="0"/>
                <w:sz w:val="24"/>
                <w:szCs w:val="24"/>
                <w:lang w:bidi="ar"/>
              </w:rPr>
              <w:t>£</w:t>
            </w:r>
            <w:r>
              <w:rPr>
                <w:rFonts w:ascii="宋体" w:hAnsi="宋体" w:eastAsia="宋体" w:cs="宋体"/>
                <w:color w:val="000000"/>
                <w:kern w:val="0"/>
                <w:sz w:val="24"/>
                <w:szCs w:val="24"/>
                <w:lang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00DB4299">
            <w:pPr>
              <w:widowControl/>
              <w:spacing w:line="300" w:lineRule="exact"/>
              <w:jc w:val="center"/>
              <w:textAlignment w:val="center"/>
              <w:rPr>
                <w:rFonts w:ascii="Wingdings 2" w:hAnsi="Wingdings 2" w:eastAsia="Wingdings 2" w:cs="Wingdings 2"/>
                <w:color w:val="000000"/>
                <w:sz w:val="24"/>
                <w:szCs w:val="24"/>
              </w:rPr>
            </w:pPr>
            <w:r>
              <w:rPr>
                <w:rFonts w:ascii="Wingdings 2" w:hAnsi="Wingdings 2" w:eastAsia="Wingdings 2" w:cs="Wingdings 2"/>
                <w:color w:val="000000"/>
                <w:kern w:val="0"/>
                <w:sz w:val="24"/>
                <w:szCs w:val="24"/>
                <w:lang w:bidi="ar"/>
              </w:rPr>
              <w:sym w:font="Wingdings 2" w:char="0052"/>
            </w:r>
            <w:r>
              <w:rPr>
                <w:rFonts w:ascii="Wingdings 2" w:hAnsi="Wingdings 2" w:eastAsia="Wingdings 2" w:cs="Wingdings 2"/>
                <w:color w:val="000000"/>
                <w:kern w:val="0"/>
                <w:sz w:val="24"/>
                <w:szCs w:val="24"/>
                <w:lang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ADF8DC3">
            <w:pPr>
              <w:widowControl/>
              <w:spacing w:line="300" w:lineRule="exact"/>
              <w:jc w:val="center"/>
              <w:textAlignment w:val="center"/>
              <w:rPr>
                <w:rFonts w:ascii="Wingdings 2" w:hAnsi="Wingdings 2" w:eastAsia="Wingdings 2" w:cs="Wingdings 2"/>
                <w:color w:val="000000"/>
                <w:sz w:val="24"/>
                <w:szCs w:val="24"/>
              </w:rPr>
            </w:pPr>
            <w:r>
              <w:rPr>
                <w:rFonts w:ascii="Wingdings 2" w:hAnsi="Wingdings 2" w:eastAsia="Wingdings 2" w:cs="Wingdings 2"/>
                <w:color w:val="000000"/>
                <w:kern w:val="0"/>
                <w:sz w:val="24"/>
                <w:szCs w:val="24"/>
                <w:lang w:bidi="ar"/>
              </w:rPr>
              <w:t>£</w:t>
            </w:r>
            <w:r>
              <w:rPr>
                <w:rFonts w:ascii="宋体" w:hAnsi="宋体" w:eastAsia="宋体" w:cs="宋体"/>
                <w:color w:val="000000"/>
                <w:kern w:val="0"/>
                <w:sz w:val="24"/>
                <w:szCs w:val="24"/>
                <w:lang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9D25535">
            <w:pPr>
              <w:widowControl/>
              <w:spacing w:line="300" w:lineRule="exact"/>
              <w:jc w:val="center"/>
              <w:textAlignment w:val="center"/>
              <w:rPr>
                <w:rFonts w:ascii="Wingdings 2" w:hAnsi="Wingdings 2" w:eastAsia="Wingdings 2" w:cs="Wingdings 2"/>
                <w:color w:val="000000"/>
                <w:sz w:val="24"/>
                <w:szCs w:val="24"/>
              </w:rPr>
            </w:pPr>
            <w:r>
              <w:rPr>
                <w:rFonts w:hint="default" w:ascii="Arial" w:hAnsi="Arial" w:eastAsia="宋体" w:cs="Arial"/>
                <w:color w:val="000000"/>
                <w:kern w:val="0"/>
                <w:sz w:val="24"/>
                <w:szCs w:val="24"/>
                <w:lang w:bidi="ar"/>
              </w:rPr>
              <w:t>√</w:t>
            </w:r>
            <w:r>
              <w:rPr>
                <w:rFonts w:ascii="宋体" w:hAnsi="宋体" w:eastAsia="宋体" w:cs="宋体"/>
                <w:color w:val="000000"/>
                <w:kern w:val="0"/>
                <w:sz w:val="24"/>
                <w:szCs w:val="24"/>
                <w:lang w:bidi="ar"/>
              </w:rPr>
              <w:t>因素法与项目法相结合</w:t>
            </w:r>
          </w:p>
        </w:tc>
      </w:tr>
      <w:tr w14:paraId="2334C6A1">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FB454F">
            <w:pPr>
              <w:spacing w:line="300" w:lineRule="exact"/>
              <w:rPr>
                <w:rFonts w:hint="eastAsia" w:ascii="宋体" w:hAnsi="宋体" w:eastAsia="宋体" w:cs="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BC1BB71">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F6FDF8F">
            <w:pPr>
              <w:widowControl/>
              <w:spacing w:line="300" w:lineRule="exact"/>
              <w:jc w:val="left"/>
              <w:textAlignment w:val="center"/>
              <w:rPr>
                <w:rFonts w:hint="eastAsia" w:ascii="宋体" w:hAnsi="宋体" w:eastAsia="宋体" w:cs="宋体"/>
                <w:color w:val="000000"/>
                <w:kern w:val="0"/>
                <w:sz w:val="24"/>
                <w:szCs w:val="24"/>
                <w:lang w:eastAsia="zh-CN" w:bidi="ar"/>
              </w:rPr>
            </w:pPr>
            <w:r>
              <w:rPr>
                <w:rFonts w:hint="default" w:ascii="宋体" w:hAnsi="宋体" w:eastAsia="宋体" w:cs="宋体"/>
                <w:color w:val="000000"/>
                <w:kern w:val="0"/>
                <w:sz w:val="24"/>
                <w:szCs w:val="24"/>
                <w:lang w:eastAsia="zh-CN" w:bidi="ar"/>
              </w:rPr>
              <w:t>路灯电费和光彩工程电费作为政府财政支出的一部分，其管理和控制对于政府财政的稳健运行具有重要意义。通过设立专门的电费项目，可以实现对这些费用的统一管理和监督，确保资金使用的合理性和有效性。</w:t>
            </w:r>
          </w:p>
        </w:tc>
      </w:tr>
      <w:tr w14:paraId="2CF19FDF">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24270A">
            <w:pPr>
              <w:spacing w:line="300" w:lineRule="exact"/>
              <w:rPr>
                <w:rFonts w:hint="eastAsia" w:ascii="宋体" w:hAnsi="宋体" w:eastAsia="宋体" w:cs="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AF2B0CA">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0300B80">
            <w:pPr>
              <w:widowControl/>
              <w:spacing w:line="300" w:lineRule="exact"/>
              <w:jc w:val="left"/>
              <w:textAlignment w:val="center"/>
              <w:rPr>
                <w:rFonts w:hint="eastAsia"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该项目资金主要用于城市道路照明设施路灯的电费支出。</w:t>
            </w:r>
          </w:p>
        </w:tc>
      </w:tr>
      <w:tr w14:paraId="0867F6CC">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6D7F4F">
            <w:pPr>
              <w:spacing w:line="300" w:lineRule="exact"/>
              <w:rPr>
                <w:rFonts w:hint="eastAsia" w:ascii="宋体" w:hAnsi="宋体" w:eastAsia="宋体" w:cs="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078EEEC">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2008628">
            <w:pPr>
              <w:spacing w:line="300" w:lineRule="exact"/>
              <w:jc w:val="lef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无。</w:t>
            </w:r>
          </w:p>
        </w:tc>
      </w:tr>
      <w:tr w14:paraId="20CAEB33">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D8C4C1">
            <w:pPr>
              <w:spacing w:line="300" w:lineRule="exact"/>
              <w:rPr>
                <w:rFonts w:hint="eastAsia" w:ascii="宋体" w:hAnsi="宋体" w:eastAsia="宋体" w:cs="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163A445">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9778CFC">
            <w:pPr>
              <w:widowControl/>
              <w:spacing w:line="300" w:lineRule="exact"/>
              <w:jc w:val="left"/>
              <w:textAlignment w:val="center"/>
              <w:rPr>
                <w:rFonts w:hint="eastAsia" w:ascii="宋体" w:hAnsi="宋体" w:eastAsia="宋体" w:cs="宋体"/>
                <w:color w:val="000000"/>
                <w:kern w:val="0"/>
                <w:sz w:val="24"/>
                <w:szCs w:val="24"/>
                <w:lang w:bidi="ar"/>
              </w:rPr>
            </w:pPr>
            <w:r>
              <w:rPr>
                <w:rFonts w:hint="eastAsia" w:eastAsia="宋体"/>
                <w:color w:val="000000"/>
                <w:kern w:val="0"/>
                <w:sz w:val="24"/>
                <w:szCs w:val="24"/>
                <w:lang w:bidi="ar"/>
              </w:rPr>
              <w:t>202</w:t>
            </w:r>
            <w:r>
              <w:rPr>
                <w:rFonts w:hint="eastAsia" w:eastAsia="宋体"/>
                <w:color w:val="000000"/>
                <w:kern w:val="0"/>
                <w:sz w:val="24"/>
                <w:szCs w:val="24"/>
                <w:lang w:val="en-US" w:eastAsia="zh-CN" w:bidi="ar"/>
              </w:rPr>
              <w:t>4</w:t>
            </w:r>
            <w:r>
              <w:rPr>
                <w:rFonts w:hint="eastAsia" w:eastAsia="宋体"/>
                <w:color w:val="000000"/>
                <w:kern w:val="0"/>
                <w:sz w:val="24"/>
                <w:szCs w:val="24"/>
                <w:lang w:bidi="ar"/>
              </w:rPr>
              <w:t>年</w:t>
            </w:r>
            <w:r>
              <w:rPr>
                <w:rFonts w:hint="eastAsia" w:eastAsia="宋体"/>
                <w:color w:val="000000"/>
                <w:kern w:val="0"/>
                <w:sz w:val="24"/>
                <w:szCs w:val="24"/>
                <w:lang w:val="en-US" w:eastAsia="zh-CN" w:bidi="ar"/>
              </w:rPr>
              <w:t>1</w:t>
            </w:r>
            <w:r>
              <w:rPr>
                <w:rFonts w:hint="eastAsia" w:eastAsia="宋体"/>
                <w:color w:val="000000"/>
                <w:kern w:val="0"/>
                <w:sz w:val="24"/>
                <w:szCs w:val="24"/>
                <w:lang w:bidi="ar"/>
              </w:rPr>
              <w:t>月至</w:t>
            </w:r>
            <w:r>
              <w:rPr>
                <w:rFonts w:eastAsia="宋体"/>
                <w:color w:val="000000"/>
                <w:kern w:val="0"/>
                <w:sz w:val="24"/>
                <w:szCs w:val="24"/>
                <w:lang w:bidi="ar"/>
              </w:rPr>
              <w:t>202</w:t>
            </w:r>
            <w:r>
              <w:rPr>
                <w:rFonts w:hint="eastAsia" w:eastAsia="宋体"/>
                <w:color w:val="000000"/>
                <w:kern w:val="0"/>
                <w:sz w:val="24"/>
                <w:szCs w:val="24"/>
                <w:lang w:val="en-US" w:eastAsia="zh-CN" w:bidi="ar"/>
              </w:rPr>
              <w:t>4</w:t>
            </w:r>
            <w:r>
              <w:rPr>
                <w:rFonts w:hint="eastAsia" w:eastAsia="宋体"/>
                <w:color w:val="000000"/>
                <w:kern w:val="0"/>
                <w:sz w:val="24"/>
                <w:szCs w:val="24"/>
                <w:lang w:bidi="ar"/>
              </w:rPr>
              <w:t>年1</w:t>
            </w:r>
            <w:r>
              <w:rPr>
                <w:rFonts w:hint="eastAsia" w:eastAsia="宋体"/>
                <w:color w:val="000000"/>
                <w:kern w:val="0"/>
                <w:sz w:val="24"/>
                <w:szCs w:val="24"/>
                <w:lang w:val="en-US" w:eastAsia="zh-CN" w:bidi="ar"/>
              </w:rPr>
              <w:t>2</w:t>
            </w:r>
            <w:r>
              <w:rPr>
                <w:rFonts w:hint="eastAsia" w:eastAsia="宋体"/>
                <w:color w:val="000000"/>
                <w:kern w:val="0"/>
                <w:sz w:val="24"/>
                <w:szCs w:val="24"/>
                <w:lang w:bidi="ar"/>
              </w:rPr>
              <w:t>月</w:t>
            </w:r>
          </w:p>
        </w:tc>
      </w:tr>
      <w:tr w14:paraId="527E8843">
        <w:tblPrEx>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1BD43E">
            <w:pPr>
              <w:widowControl/>
              <w:spacing w:line="300" w:lineRule="exact"/>
              <w:jc w:val="center"/>
              <w:textAlignment w:val="center"/>
              <w:rPr>
                <w:rFonts w:ascii="宋体" w:hAnsi="宋体" w:eastAsia="宋体" w:cs="宋体"/>
                <w:color w:val="000000"/>
                <w:kern w:val="0"/>
                <w:sz w:val="24"/>
                <w:szCs w:val="24"/>
                <w:lang w:bidi="ar"/>
              </w:rPr>
            </w:pPr>
            <w:r>
              <w:rPr>
                <w:rFonts w:ascii="宋体" w:hAnsi="宋体" w:eastAsia="宋体" w:cs="宋体"/>
                <w:color w:val="000000"/>
                <w:kern w:val="0"/>
                <w:sz w:val="24"/>
                <w:szCs w:val="24"/>
                <w:lang w:bidi="ar"/>
              </w:rPr>
              <w:t>项目资金</w:t>
            </w:r>
          </w:p>
          <w:p w14:paraId="1B9955C8">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020C7238">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F402D24">
            <w:pPr>
              <w:widowControl/>
              <w:spacing w:line="300" w:lineRule="exact"/>
              <w:jc w:val="left"/>
              <w:textAlignment w:val="center"/>
              <w:rPr>
                <w:rFonts w:hint="eastAsia" w:ascii="Times New Roman" w:hAnsi="Times New Roman" w:eastAsia="宋体" w:cs="Times New Roman"/>
                <w:color w:val="000000"/>
                <w:kern w:val="0"/>
                <w:sz w:val="24"/>
                <w:szCs w:val="24"/>
                <w:lang w:bidi="ar"/>
              </w:rPr>
            </w:pPr>
            <w:r>
              <w:rPr>
                <w:rFonts w:hint="eastAsia" w:ascii="Times New Roman" w:hAnsi="Times New Roman" w:eastAsia="宋体" w:cs="Times New Roman"/>
                <w:color w:val="000000"/>
                <w:kern w:val="0"/>
                <w:sz w:val="24"/>
                <w:szCs w:val="24"/>
                <w:lang w:val="en-US" w:eastAsia="zh-CN" w:bidi="ar"/>
              </w:rPr>
              <w:t>9</w:t>
            </w:r>
            <w:r>
              <w:rPr>
                <w:rFonts w:hint="eastAsia" w:ascii="Times New Roman" w:hAnsi="Times New Roman" w:eastAsia="宋体" w:cs="Times New Roman"/>
                <w:color w:val="000000"/>
                <w:kern w:val="0"/>
                <w:sz w:val="24"/>
                <w:szCs w:val="24"/>
                <w:lang w:bidi="ar"/>
              </w:rPr>
              <w:t>0</w:t>
            </w:r>
          </w:p>
        </w:tc>
      </w:tr>
      <w:tr w14:paraId="248E018C">
        <w:tblPrEx>
          <w:tblCellMar>
            <w:top w:w="15" w:type="dxa"/>
            <w:left w:w="15" w:type="dxa"/>
            <w:bottom w:w="15" w:type="dxa"/>
            <w:right w:w="15" w:type="dxa"/>
          </w:tblCellMar>
        </w:tblPrEx>
        <w:trPr>
          <w:trHeight w:val="307"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0F0769">
            <w:pPr>
              <w:spacing w:line="300" w:lineRule="exact"/>
              <w:rPr>
                <w:rFonts w:hint="eastAsia" w:ascii="宋体" w:hAnsi="宋体" w:eastAsia="宋体" w:cs="宋体"/>
                <w:color w:val="000000"/>
                <w:sz w:val="24"/>
                <w:szCs w:val="24"/>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00071BC4">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 xml:space="preserve">     </w:t>
            </w:r>
            <w:r>
              <w:rPr>
                <w:rFonts w:hint="eastAsia" w:ascii="宋体" w:hAnsi="宋体" w:eastAsia="宋体" w:cs="宋体"/>
                <w:color w:val="000000"/>
                <w:kern w:val="0"/>
                <w:sz w:val="24"/>
                <w:szCs w:val="24"/>
                <w:lang w:bidi="ar"/>
              </w:rPr>
              <w:t xml:space="preserve"> </w:t>
            </w:r>
            <w:r>
              <w:rPr>
                <w:rFonts w:ascii="宋体" w:hAnsi="宋体" w:eastAsia="宋体" w:cs="宋体"/>
                <w:color w:val="000000"/>
                <w:kern w:val="0"/>
                <w:sz w:val="24"/>
                <w:szCs w:val="24"/>
                <w:lang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3C7E93A">
            <w:pPr>
              <w:widowControl/>
              <w:spacing w:line="300" w:lineRule="exact"/>
              <w:jc w:val="left"/>
              <w:textAlignment w:val="center"/>
              <w:rPr>
                <w:rFonts w:hint="eastAsia" w:ascii="Times New Roman" w:hAnsi="Times New Roman" w:eastAsia="宋体" w:cs="Times New Roman"/>
                <w:color w:val="000000"/>
                <w:kern w:val="0"/>
                <w:sz w:val="24"/>
                <w:szCs w:val="24"/>
                <w:lang w:bidi="ar"/>
              </w:rPr>
            </w:pPr>
            <w:r>
              <w:rPr>
                <w:rFonts w:hint="eastAsia" w:ascii="Times New Roman" w:hAnsi="Times New Roman" w:eastAsia="宋体" w:cs="Times New Roman"/>
                <w:color w:val="000000"/>
                <w:kern w:val="0"/>
                <w:sz w:val="24"/>
                <w:szCs w:val="24"/>
                <w:lang w:val="en-US" w:eastAsia="zh-CN" w:bidi="ar"/>
              </w:rPr>
              <w:t>9</w:t>
            </w:r>
            <w:r>
              <w:rPr>
                <w:rFonts w:hint="eastAsia" w:ascii="Times New Roman" w:hAnsi="Times New Roman" w:eastAsia="宋体" w:cs="Times New Roman"/>
                <w:color w:val="000000"/>
                <w:kern w:val="0"/>
                <w:sz w:val="24"/>
                <w:szCs w:val="24"/>
                <w:lang w:bidi="ar"/>
              </w:rPr>
              <w:t>0</w:t>
            </w:r>
          </w:p>
        </w:tc>
      </w:tr>
      <w:tr w14:paraId="207948C2">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EEA095">
            <w:pPr>
              <w:spacing w:line="300" w:lineRule="exact"/>
              <w:rPr>
                <w:rFonts w:hint="eastAsia" w:ascii="宋体" w:hAnsi="宋体" w:eastAsia="宋体" w:cs="宋体"/>
                <w:color w:val="000000"/>
                <w:sz w:val="24"/>
                <w:szCs w:val="24"/>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6965B8DE">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72560A7">
            <w:pPr>
              <w:widowControl/>
              <w:spacing w:line="300" w:lineRule="exact"/>
              <w:jc w:val="left"/>
              <w:textAlignment w:val="center"/>
              <w:rPr>
                <w:rFonts w:hint="eastAsia" w:ascii="Times New Roman" w:hAnsi="Times New Roman" w:eastAsia="宋体" w:cs="Times New Roman"/>
                <w:color w:val="000000"/>
                <w:kern w:val="0"/>
                <w:sz w:val="24"/>
                <w:szCs w:val="24"/>
                <w:lang w:bidi="ar"/>
              </w:rPr>
            </w:pPr>
            <w:r>
              <w:rPr>
                <w:rFonts w:hint="eastAsia" w:ascii="Times New Roman" w:hAnsi="Times New Roman" w:eastAsia="宋体" w:cs="Times New Roman"/>
                <w:color w:val="000000"/>
                <w:kern w:val="0"/>
                <w:sz w:val="24"/>
                <w:szCs w:val="24"/>
                <w:lang w:bidi="ar"/>
              </w:rPr>
              <w:t>0</w:t>
            </w:r>
          </w:p>
        </w:tc>
      </w:tr>
      <w:tr w14:paraId="4171A1E8">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94A1D52">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36358CB8">
            <w:pPr>
              <w:widowControl/>
              <w:spacing w:line="300" w:lineRule="exact"/>
              <w:jc w:val="center"/>
              <w:textAlignment w:val="center"/>
              <w:rPr>
                <w:rFonts w:hint="default" w:ascii="宋体" w:hAnsi="宋体" w:eastAsia="宋体" w:cs="宋体"/>
                <w:color w:val="000000"/>
                <w:kern w:val="0"/>
                <w:sz w:val="24"/>
                <w:szCs w:val="24"/>
                <w:lang w:eastAsia="zh-CN" w:bidi="ar"/>
              </w:rPr>
            </w:pPr>
            <w:r>
              <w:rPr>
                <w:rFonts w:hint="default" w:ascii="宋体" w:hAnsi="宋体" w:eastAsia="宋体" w:cs="宋体"/>
                <w:color w:val="000000"/>
                <w:kern w:val="0"/>
                <w:sz w:val="24"/>
                <w:szCs w:val="24"/>
                <w:lang w:eastAsia="zh-CN" w:bidi="ar"/>
              </w:rPr>
              <w:t>年度目标</w:t>
            </w:r>
          </w:p>
        </w:tc>
      </w:tr>
      <w:tr w14:paraId="7F99517F">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48CB22">
            <w:pPr>
              <w:spacing w:line="300" w:lineRule="exact"/>
              <w:rPr>
                <w:rFonts w:hint="eastAsia" w:ascii="宋体" w:hAnsi="宋体" w:eastAsia="宋体" w:cs="宋体"/>
                <w:color w:val="000000"/>
                <w:sz w:val="24"/>
                <w:szCs w:val="24"/>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52907C46">
            <w:pPr>
              <w:widowControl/>
              <w:spacing w:line="300" w:lineRule="exact"/>
              <w:jc w:val="left"/>
              <w:textAlignment w:val="center"/>
              <w:rPr>
                <w:rFonts w:hint="eastAsia"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路灯覆盖城区主次街道、背街小巷和四美沟（黑水县客运中心）至马桥，共计1383盏路灯。此项目经费用于2024年度1383盏路灯电费和光彩工程电费，保障路灯及光彩工程每天准时亮灯，亮化、美化城区环境，保障行人安全。</w:t>
            </w:r>
          </w:p>
        </w:tc>
      </w:tr>
      <w:tr w14:paraId="017E64E8">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14:paraId="473A956B">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27AA6762">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52355AC7">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414B70F1">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2811E61">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716EDD2">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6CFE627">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765907D">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FCF60B6">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实际完成指标值</w:t>
            </w:r>
          </w:p>
        </w:tc>
      </w:tr>
      <w:tr w14:paraId="37ED4F73">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16B7E268">
            <w:pPr>
              <w:spacing w:line="300" w:lineRule="exact"/>
              <w:jc w:val="center"/>
              <w:rPr>
                <w:rFonts w:hint="eastAsia" w:ascii="宋体" w:hAnsi="宋体" w:eastAsia="宋体" w:cs="宋体"/>
                <w:color w:val="000000"/>
                <w:sz w:val="24"/>
                <w:szCs w:val="24"/>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73B3D1D0">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产出指标</w:t>
            </w:r>
          </w:p>
        </w:tc>
        <w:tc>
          <w:tcPr>
            <w:tcW w:w="1250" w:type="dxa"/>
            <w:vMerge w:val="restart"/>
            <w:tcBorders>
              <w:top w:val="single" w:color="000000" w:sz="4" w:space="0"/>
              <w:left w:val="single" w:color="000000" w:sz="4" w:space="0"/>
              <w:right w:val="single" w:color="000000" w:sz="4" w:space="0"/>
            </w:tcBorders>
            <w:noWrap w:val="0"/>
            <w:vAlign w:val="center"/>
          </w:tcPr>
          <w:p w14:paraId="74BFBBBF">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878EEC9">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用电量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103838B">
            <w:pPr>
              <w:spacing w:line="3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C496531">
            <w:pPr>
              <w:spacing w:line="300" w:lineRule="exact"/>
              <w:jc w:val="center"/>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140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4505D36">
            <w:pPr>
              <w:spacing w:line="3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万千瓦</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2CF27F3">
            <w:pPr>
              <w:spacing w:line="300" w:lineRule="exact"/>
              <w:jc w:val="center"/>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C77B85F">
            <w:pPr>
              <w:spacing w:line="300" w:lineRule="exact"/>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lang w:val="en-US" w:eastAsia="zh-CN"/>
              </w:rPr>
              <w:t>140</w:t>
            </w:r>
          </w:p>
        </w:tc>
      </w:tr>
      <w:tr w14:paraId="10A62636">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108FE77F">
            <w:pPr>
              <w:spacing w:line="300" w:lineRule="exact"/>
              <w:jc w:val="center"/>
              <w:rPr>
                <w:rFonts w:hint="eastAsia" w:ascii="宋体" w:hAnsi="宋体" w:eastAsia="宋体" w:cs="宋体"/>
                <w:color w:val="000000"/>
                <w:sz w:val="24"/>
                <w:szCs w:val="24"/>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431F47">
            <w:pPr>
              <w:spacing w:line="300" w:lineRule="exact"/>
              <w:jc w:val="center"/>
              <w:rPr>
                <w:rFonts w:hint="eastAsia" w:ascii="宋体" w:hAnsi="宋体" w:eastAsia="宋体" w:cs="宋体"/>
                <w:color w:val="000000"/>
                <w:sz w:val="24"/>
                <w:szCs w:val="24"/>
              </w:rPr>
            </w:pPr>
          </w:p>
        </w:tc>
        <w:tc>
          <w:tcPr>
            <w:tcW w:w="1250" w:type="dxa"/>
            <w:vMerge w:val="continue"/>
            <w:tcBorders>
              <w:left w:val="single" w:color="000000" w:sz="4" w:space="0"/>
              <w:bottom w:val="single" w:color="000000" w:sz="4" w:space="0"/>
              <w:right w:val="single" w:color="000000" w:sz="4" w:space="0"/>
            </w:tcBorders>
            <w:noWrap w:val="0"/>
            <w:vAlign w:val="center"/>
          </w:tcPr>
          <w:p w14:paraId="18116ACB">
            <w:pPr>
              <w:widowControl/>
              <w:spacing w:line="300" w:lineRule="exact"/>
              <w:jc w:val="center"/>
              <w:textAlignment w:val="center"/>
              <w:rPr>
                <w:rFonts w:ascii="宋体" w:hAnsi="宋体" w:eastAsia="宋体" w:cs="宋体"/>
                <w:color w:val="000000"/>
                <w:sz w:val="24"/>
                <w:szCs w:val="24"/>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6C266C1">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城市路灯数量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B53E440">
            <w:pPr>
              <w:spacing w:line="3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A6F1DE1">
            <w:pPr>
              <w:spacing w:line="300" w:lineRule="exact"/>
              <w:jc w:val="center"/>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1383</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F344E2C">
            <w:pPr>
              <w:spacing w:line="3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盏</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1F65FC6">
            <w:pPr>
              <w:spacing w:line="300" w:lineRule="exact"/>
              <w:jc w:val="center"/>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93E99F0">
            <w:pPr>
              <w:spacing w:line="300" w:lineRule="exact"/>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lang w:val="en-US" w:eastAsia="zh-CN"/>
              </w:rPr>
              <w:t>1383</w:t>
            </w:r>
          </w:p>
        </w:tc>
      </w:tr>
      <w:tr w14:paraId="3C07EA4B">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68443A78">
            <w:pPr>
              <w:spacing w:line="300" w:lineRule="exact"/>
              <w:jc w:val="center"/>
              <w:rPr>
                <w:rFonts w:hint="eastAsia" w:ascii="宋体" w:hAnsi="宋体" w:eastAsia="宋体" w:cs="宋体"/>
                <w:color w:val="000000"/>
                <w:sz w:val="24"/>
                <w:szCs w:val="24"/>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9721DE">
            <w:pPr>
              <w:spacing w:line="300" w:lineRule="exact"/>
              <w:jc w:val="center"/>
              <w:rPr>
                <w:rFonts w:hint="eastAsia" w:ascii="宋体" w:hAnsi="宋体" w:eastAsia="宋体" w:cs="宋体"/>
                <w:color w:val="000000"/>
                <w:sz w:val="24"/>
                <w:szCs w:val="24"/>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1A8A4F31">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330B7A8">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按年度统计结算</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F2408CE">
            <w:pPr>
              <w:spacing w:line="300" w:lineRule="exact"/>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5BFD48C">
            <w:pPr>
              <w:spacing w:line="3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结算本年度电费</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C24ABCF">
            <w:pPr>
              <w:spacing w:line="300" w:lineRule="exact"/>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7942194">
            <w:pPr>
              <w:spacing w:line="3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2CE6823">
            <w:pPr>
              <w:spacing w:line="300" w:lineRule="exact"/>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rPr>
              <w:t>结算本年度电费</w:t>
            </w:r>
          </w:p>
        </w:tc>
      </w:tr>
      <w:tr w14:paraId="3E3B0BB6">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3AE7B627">
            <w:pPr>
              <w:spacing w:line="300" w:lineRule="exact"/>
              <w:jc w:val="center"/>
              <w:rPr>
                <w:rFonts w:hint="eastAsia" w:ascii="宋体" w:hAnsi="宋体" w:eastAsia="宋体" w:cs="宋体"/>
                <w:color w:val="000000"/>
                <w:sz w:val="24"/>
                <w:szCs w:val="24"/>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42A4A82E">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85BB0BF">
            <w:pPr>
              <w:widowControl/>
              <w:spacing w:line="300" w:lineRule="exact"/>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eastAsia="zh-CN" w:bidi="ar"/>
              </w:rPr>
              <w:t>社会效益</w:t>
            </w:r>
            <w:r>
              <w:rPr>
                <w:rFonts w:hint="eastAsia" w:ascii="宋体" w:hAnsi="宋体" w:eastAsia="宋体" w:cs="宋体"/>
                <w:color w:val="000000"/>
                <w:kern w:val="0"/>
                <w:sz w:val="24"/>
                <w:szCs w:val="24"/>
                <w:lang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B954E47">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照明保障行人安全</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54D0700">
            <w:pPr>
              <w:spacing w:line="300" w:lineRule="exact"/>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ADFD86A">
            <w:pPr>
              <w:spacing w:line="300" w:lineRule="exact"/>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优</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492E3D9">
            <w:pPr>
              <w:spacing w:line="3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BBABC8F">
            <w:pPr>
              <w:spacing w:line="300" w:lineRule="exact"/>
              <w:jc w:val="center"/>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F47C048">
            <w:pPr>
              <w:spacing w:line="300" w:lineRule="exact"/>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lang w:eastAsia="zh-CN"/>
              </w:rPr>
              <w:t>优</w:t>
            </w:r>
          </w:p>
        </w:tc>
      </w:tr>
      <w:tr w14:paraId="6567C81D">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6BA87CD6">
            <w:pPr>
              <w:spacing w:line="300" w:lineRule="exact"/>
              <w:jc w:val="center"/>
              <w:rPr>
                <w:rFonts w:hint="eastAsia" w:ascii="宋体" w:hAnsi="宋体" w:eastAsia="宋体" w:cs="宋体"/>
                <w:color w:val="000000"/>
                <w:sz w:val="24"/>
                <w:szCs w:val="24"/>
              </w:rPr>
            </w:pPr>
          </w:p>
        </w:tc>
        <w:tc>
          <w:tcPr>
            <w:tcW w:w="1081" w:type="dxa"/>
            <w:tcBorders>
              <w:top w:val="single" w:color="000000" w:sz="4" w:space="0"/>
              <w:left w:val="single" w:color="000000" w:sz="4" w:space="0"/>
              <w:right w:val="single" w:color="000000" w:sz="4" w:space="0"/>
            </w:tcBorders>
            <w:noWrap w:val="0"/>
            <w:vAlign w:val="center"/>
          </w:tcPr>
          <w:p w14:paraId="05725C60">
            <w:pPr>
              <w:widowControl/>
              <w:spacing w:line="300" w:lineRule="exact"/>
              <w:jc w:val="center"/>
              <w:textAlignment w:val="center"/>
              <w:rPr>
                <w:rFonts w:ascii="宋体" w:hAnsi="宋体" w:eastAsia="宋体" w:cs="宋体"/>
                <w:color w:val="000000"/>
                <w:kern w:val="0"/>
                <w:sz w:val="24"/>
                <w:szCs w:val="24"/>
                <w:lang w:bidi="ar"/>
              </w:rPr>
            </w:pPr>
            <w:r>
              <w:rPr>
                <w:rFonts w:ascii="宋体" w:hAnsi="宋体" w:eastAsia="宋体" w:cs="宋体"/>
                <w:color w:val="000000"/>
                <w:kern w:val="0"/>
                <w:sz w:val="24"/>
                <w:szCs w:val="24"/>
                <w:lang w:bidi="ar"/>
              </w:rPr>
              <w:t>满意度</w:t>
            </w:r>
          </w:p>
          <w:p w14:paraId="20F524A9">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指标</w:t>
            </w:r>
          </w:p>
        </w:tc>
        <w:tc>
          <w:tcPr>
            <w:tcW w:w="1250" w:type="dxa"/>
            <w:tcBorders>
              <w:top w:val="single" w:color="000000" w:sz="4" w:space="0"/>
              <w:left w:val="single" w:color="000000" w:sz="4" w:space="0"/>
              <w:right w:val="single" w:color="000000" w:sz="4" w:space="0"/>
            </w:tcBorders>
            <w:noWrap w:val="0"/>
            <w:vAlign w:val="center"/>
          </w:tcPr>
          <w:p w14:paraId="398D5946">
            <w:pPr>
              <w:widowControl/>
              <w:spacing w:line="300" w:lineRule="exact"/>
              <w:jc w:val="center"/>
              <w:textAlignment w:val="center"/>
              <w:rPr>
                <w:rFonts w:ascii="宋体" w:hAnsi="宋体" w:eastAsia="宋体" w:cs="宋体"/>
                <w:color w:val="000000"/>
                <w:kern w:val="0"/>
                <w:sz w:val="24"/>
                <w:szCs w:val="24"/>
                <w:lang w:bidi="ar"/>
              </w:rPr>
            </w:pPr>
            <w:r>
              <w:rPr>
                <w:rFonts w:ascii="宋体" w:hAnsi="宋体" w:eastAsia="宋体" w:cs="宋体"/>
                <w:color w:val="000000"/>
                <w:kern w:val="0"/>
                <w:sz w:val="24"/>
                <w:szCs w:val="24"/>
                <w:lang w:bidi="ar"/>
              </w:rPr>
              <w:t>服务对象</w:t>
            </w:r>
          </w:p>
          <w:p w14:paraId="04224C19">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5B8958A">
            <w:pPr>
              <w:widowControl/>
              <w:spacing w:line="300" w:lineRule="exact"/>
              <w:jc w:val="center"/>
              <w:textAlignment w:val="center"/>
              <w:rPr>
                <w:rFonts w:hint="eastAsia" w:ascii="宋体" w:hAnsi="宋体" w:eastAsia="宋体" w:cs="宋体"/>
                <w:color w:val="000000"/>
                <w:kern w:val="0"/>
                <w:sz w:val="24"/>
                <w:szCs w:val="24"/>
                <w:lang w:eastAsia="zh-CN" w:bidi="ar"/>
              </w:rPr>
            </w:pPr>
            <w:r>
              <w:rPr>
                <w:rFonts w:hint="default" w:ascii="宋体" w:hAnsi="宋体" w:eastAsia="宋体" w:cs="宋体"/>
                <w:color w:val="000000"/>
                <w:kern w:val="0"/>
                <w:sz w:val="24"/>
                <w:szCs w:val="24"/>
                <w:lang w:val="en-US" w:eastAsia="zh-CN" w:bidi="ar"/>
              </w:rPr>
              <w:t>市民满意度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A50E18D">
            <w:pPr>
              <w:spacing w:line="3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CE72452">
            <w:pPr>
              <w:spacing w:line="300" w:lineRule="exact"/>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9</w:t>
            </w:r>
            <w:r>
              <w:rPr>
                <w:rFonts w:hint="eastAsia" w:ascii="宋体" w:hAnsi="宋体" w:eastAsia="宋体" w:cs="宋体"/>
                <w:color w:val="000000"/>
                <w:sz w:val="24"/>
                <w:szCs w:val="24"/>
                <w:lang w:val="en-US" w:eastAsia="zh-CN"/>
              </w:rPr>
              <w:t>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E5671B1">
            <w:pPr>
              <w:spacing w:line="3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8D5B781">
            <w:pPr>
              <w:spacing w:line="3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BEE5846">
            <w:pPr>
              <w:spacing w:line="300" w:lineRule="exact"/>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rPr>
              <w:t>9</w:t>
            </w:r>
            <w:r>
              <w:rPr>
                <w:rFonts w:hint="eastAsia" w:ascii="宋体" w:hAnsi="宋体" w:eastAsia="宋体" w:cs="宋体"/>
                <w:color w:val="000000"/>
                <w:sz w:val="24"/>
                <w:szCs w:val="24"/>
                <w:lang w:val="en-US" w:eastAsia="zh-CN"/>
              </w:rPr>
              <w:t>5</w:t>
            </w:r>
          </w:p>
        </w:tc>
      </w:tr>
    </w:tbl>
    <w:p w14:paraId="68F7C325">
      <w:pPr>
        <w:pStyle w:val="9"/>
        <w:spacing w:after="0" w:line="578" w:lineRule="exact"/>
        <w:ind w:leftChars="0" w:firstLine="0" w:firstLineChars="0"/>
        <w:rPr>
          <w:rFonts w:hint="eastAsia" w:ascii="黑体" w:hAnsi="黑体" w:eastAsia="黑体" w:cs="黑体"/>
          <w:sz w:val="24"/>
          <w:szCs w:val="24"/>
        </w:rPr>
      </w:pPr>
    </w:p>
    <w:p w14:paraId="0306FEE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
    <w:altName w:val="仿宋"/>
    <w:panose1 w:val="00000000000000000000"/>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0000000000000000000"/>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Kingsoft UE">
    <w:panose1 w:val="02000100010000000000"/>
    <w:charset w:val="00"/>
    <w:family w:val="auto"/>
    <w:pitch w:val="default"/>
    <w:sig w:usb0="00000001" w:usb1="00004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100566B3"/>
    <w:rsid w:val="1B4A3EC4"/>
    <w:rsid w:val="2439349C"/>
    <w:rsid w:val="244E01D1"/>
    <w:rsid w:val="2EF63436"/>
    <w:rsid w:val="33DA011B"/>
    <w:rsid w:val="358B1B11"/>
    <w:rsid w:val="423607D0"/>
    <w:rsid w:val="4A0B0DD8"/>
    <w:rsid w:val="51974B66"/>
    <w:rsid w:val="55704B34"/>
    <w:rsid w:val="57B166CC"/>
    <w:rsid w:val="5DBC40E7"/>
    <w:rsid w:val="77991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5"/>
    <w:qFormat/>
    <w:uiPriority w:val="9"/>
    <w:pPr>
      <w:keepNext/>
      <w:keepLines/>
      <w:spacing w:before="340" w:after="330" w:line="578" w:lineRule="auto"/>
      <w:outlineLvl w:val="0"/>
    </w:pPr>
    <w:rPr>
      <w:b/>
      <w:bCs/>
      <w:kern w:val="44"/>
      <w:sz w:val="44"/>
      <w:szCs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4">
    <w:name w:val="Body Text"/>
    <w:basedOn w:val="1"/>
    <w:next w:val="5"/>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Title"/>
    <w:basedOn w:val="1"/>
    <w:qFormat/>
    <w:uiPriority w:val="10"/>
    <w:pPr>
      <w:overflowPunct/>
      <w:topLinePunct w:val="0"/>
      <w:spacing w:before="240" w:after="60"/>
      <w:jc w:val="center"/>
      <w:outlineLvl w:val="0"/>
    </w:pPr>
    <w:rPr>
      <w:rFonts w:ascii="等线 Light" w:hAnsi="等线 Light" w:eastAsia="等线 Light" w:cs="Times New Roman"/>
      <w:b/>
      <w:bCs/>
      <w:szCs w:val="32"/>
    </w:rPr>
  </w:style>
  <w:style w:type="paragraph" w:styleId="6">
    <w:name w:val="Body Text Indent"/>
    <w:basedOn w:val="1"/>
    <w:qFormat/>
    <w:uiPriority w:val="0"/>
    <w:pPr>
      <w:spacing w:after="120"/>
      <w:ind w:leftChars="200"/>
    </w:pPr>
    <w:rPr>
      <w:rFonts w:ascii="仿宋_GB2312"/>
      <w:szCs w:val="32"/>
    </w:rPr>
  </w:style>
  <w:style w:type="paragraph" w:styleId="7">
    <w:name w:val="footer"/>
    <w:basedOn w:val="1"/>
    <w:link w:val="14"/>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3"/>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Body Text First Indent 2"/>
    <w:basedOn w:val="6"/>
    <w:unhideWhenUsed/>
    <w:qFormat/>
    <w:uiPriority w:val="99"/>
    <w:pPr>
      <w:ind w:firstLine="420" w:firstLine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Char"/>
    <w:basedOn w:val="12"/>
    <w:link w:val="8"/>
    <w:semiHidden/>
    <w:qFormat/>
    <w:uiPriority w:val="99"/>
    <w:rPr>
      <w:sz w:val="18"/>
      <w:szCs w:val="18"/>
    </w:rPr>
  </w:style>
  <w:style w:type="character" w:customStyle="1" w:styleId="14">
    <w:name w:val="页脚 Char"/>
    <w:basedOn w:val="12"/>
    <w:link w:val="7"/>
    <w:semiHidden/>
    <w:qFormat/>
    <w:uiPriority w:val="99"/>
    <w:rPr>
      <w:sz w:val="18"/>
      <w:szCs w:val="18"/>
    </w:rPr>
  </w:style>
  <w:style w:type="character" w:customStyle="1" w:styleId="15">
    <w:name w:val="标题 1 Char"/>
    <w:basedOn w:val="12"/>
    <w:link w:val="3"/>
    <w:qFormat/>
    <w:uiPriority w:val="9"/>
    <w:rPr>
      <w:rFonts w:ascii="Times New Roman" w:hAnsi="Times New Roman" w:eastAsia="宋体" w:cs="Times New Roman"/>
      <w:b/>
      <w:bCs/>
      <w:kern w:val="44"/>
      <w:sz w:val="44"/>
      <w:szCs w:val="44"/>
    </w:rPr>
  </w:style>
  <w:style w:type="paragraph" w:customStyle="1" w:styleId="1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12</Pages>
  <Words>5582</Words>
  <Characters>5726</Characters>
  <Lines>2</Lines>
  <Paragraphs>1</Paragraphs>
  <TotalTime>2</TotalTime>
  <ScaleCrop>false</ScaleCrop>
  <LinksUpToDate>false</LinksUpToDate>
  <CharactersWithSpaces>5753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WPS_1604458475</cp:lastModifiedBy>
  <dcterms:modified xsi:type="dcterms:W3CDTF">2025-08-29T03:06:32Z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CD14128851FF4C64A5534974F19A36DC</vt:lpwstr>
  </property>
  <property fmtid="{D5CDD505-2E9C-101B-9397-08002B2CF9AE}" pid="4" name="KSOTemplateDocerSaveRecord">
    <vt:lpwstr>eyJoZGlkIjoiYmMxZWViYzY2OTBkMWNmMDZlNjI2NmUwYzQyZTk2ZTMiLCJ1c2VySWQiOiIxMTM5OTQ5NTAyIn0=</vt:lpwstr>
  </property>
</Properties>
</file>