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777DD5">
      <w:pPr>
        <w:spacing w:line="580" w:lineRule="exact"/>
        <w:jc w:val="center"/>
        <w:rPr>
          <w:rFonts w:hint="eastAsia" w:ascii="仿宋_GB2312" w:hAnsi="黑体" w:eastAsia="仿宋_GB2312" w:cs="方正小标宋简体"/>
          <w:b/>
          <w:sz w:val="32"/>
          <w:szCs w:val="32"/>
        </w:rPr>
      </w:pPr>
      <w:r>
        <w:rPr>
          <w:rFonts w:hint="eastAsia" w:ascii="仿宋_GB2312" w:hAnsi="黑体" w:eastAsia="仿宋_GB2312" w:cs="方正小标宋简体"/>
          <w:b/>
          <w:sz w:val="32"/>
          <w:szCs w:val="32"/>
        </w:rPr>
        <w:t>20</w:t>
      </w:r>
      <w:r>
        <w:rPr>
          <w:rFonts w:hint="eastAsia" w:ascii="仿宋_GB2312" w:hAnsi="黑体" w:eastAsia="仿宋_GB2312" w:cs="方正小标宋简体"/>
          <w:b/>
          <w:sz w:val="32"/>
          <w:szCs w:val="32"/>
          <w:lang w:val="en-US" w:eastAsia="zh-CN"/>
        </w:rPr>
        <w:t>24</w:t>
      </w:r>
      <w:r>
        <w:rPr>
          <w:rFonts w:hint="eastAsia" w:ascii="仿宋_GB2312" w:hAnsi="黑体" w:eastAsia="仿宋_GB2312" w:cs="方正小标宋简体"/>
          <w:b/>
          <w:sz w:val="32"/>
          <w:szCs w:val="32"/>
        </w:rPr>
        <w:t>年</w:t>
      </w:r>
      <w:r>
        <w:rPr>
          <w:rFonts w:hint="eastAsia" w:ascii="仿宋_GB2312" w:hAnsi="黑体" w:eastAsia="仿宋_GB2312" w:cs="方正小标宋简体"/>
          <w:b/>
          <w:sz w:val="32"/>
          <w:szCs w:val="32"/>
          <w:lang w:val="en-US" w:eastAsia="zh-CN"/>
        </w:rPr>
        <w:t>城市维护费</w:t>
      </w:r>
      <w:r>
        <w:rPr>
          <w:rFonts w:hint="eastAsia" w:ascii="仿宋_GB2312" w:hAnsi="黑体" w:eastAsia="仿宋_GB2312" w:cs="方正小标宋简体"/>
          <w:b/>
          <w:sz w:val="32"/>
          <w:szCs w:val="32"/>
        </w:rPr>
        <w:t>项目支出绩效评价报告</w:t>
      </w:r>
    </w:p>
    <w:p w14:paraId="32CE3ACA">
      <w:pPr>
        <w:spacing w:line="580" w:lineRule="exact"/>
        <w:jc w:val="center"/>
        <w:rPr>
          <w:rFonts w:hint="eastAsia" w:ascii="仿宋_GB2312" w:hAnsi="黑体" w:eastAsia="仿宋_GB2312" w:cs="方正小标宋简体"/>
          <w:b/>
          <w:sz w:val="32"/>
          <w:szCs w:val="32"/>
        </w:rPr>
      </w:pPr>
    </w:p>
    <w:p w14:paraId="342D79B1">
      <w:pPr>
        <w:adjustRightInd w:val="0"/>
        <w:snapToGrid w:val="0"/>
        <w:spacing w:line="578"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rPr>
        <w:t>一、</w:t>
      </w:r>
      <w:r>
        <w:rPr>
          <w:rFonts w:hint="eastAsia" w:ascii="仿宋_GB2312" w:hAnsi="仿宋_GB2312" w:eastAsia="仿宋_GB2312" w:cs="仿宋_GB2312"/>
          <w:sz w:val="32"/>
          <w:szCs w:val="32"/>
          <w:lang w:val="zh-CN"/>
        </w:rPr>
        <w:t>项目概况</w:t>
      </w:r>
    </w:p>
    <w:p w14:paraId="47140206">
      <w:pPr>
        <w:widowControl/>
        <w:adjustRightInd w:val="0"/>
        <w:snapToGrid w:val="0"/>
        <w:spacing w:line="578" w:lineRule="exact"/>
        <w:ind w:firstLine="643" w:firstLineChars="200"/>
        <w:contextualSpacing/>
        <w:jc w:val="left"/>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b/>
          <w:sz w:val="32"/>
          <w:szCs w:val="32"/>
          <w:lang w:val="zh-CN"/>
        </w:rPr>
        <w:t>（一）设立背景及基本情况。</w:t>
      </w:r>
    </w:p>
    <w:p w14:paraId="7C787E3D">
      <w:pPr>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1.项目设立原因及背景</w:t>
      </w:r>
    </w:p>
    <w:p w14:paraId="2DBE57B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城市维护费项目旨在确保城市公共设施和公用事业的正常运行。这些设施包括道路、桥梁、给水、排水、供气、供热、公共污水处理、防洪堤坝等，以及园林、苗圃、公共绿化地等绿化设施，公共厕所、清扫垃圾、街道洒水、扫雪等公共环境卫生设施。通过设立专项资金，可以确保这些设施得到及时有效的维护和建设，从而保障城市的正常运行。</w:t>
      </w:r>
    </w:p>
    <w:p w14:paraId="240E0E1D">
      <w:pPr>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2.项目立项、资金申报的依据</w:t>
      </w:r>
    </w:p>
    <w:p w14:paraId="72DC103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随着城镇化建设的不断推进，城市基础设施的维护和建设变得越来越重要。市政设施作为城市基础设施的核心，不仅为居民提供正常的生活保障，还代表着城市的精神面貌与发展水平，对城市的经济发展起到基础作用。因此，设立城市维护费项目是为了满足城镇化建设过程中对市政设施维护和建设的需求。</w:t>
      </w:r>
    </w:p>
    <w:p w14:paraId="2542BB91">
      <w:pPr>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3.项目主要内容</w:t>
      </w:r>
    </w:p>
    <w:p w14:paraId="09D4419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城市维护费项目用于城区街道、广场、公共场所等环境的清扫保洁时产生的劳务费、环卫用品费、环卫车辆燃油及维修费。对城区范围内的道路、桥梁、广场、路灯等市政设施实行统一维护和管理产生的市政维修维护费、材料费、劳务费。此项目能完善城市基础设施建设，对城区范围内的花草、树木等园林绿化、道路、桥梁、广场、路灯等市政设施实行统一维护和管理。</w:t>
      </w:r>
    </w:p>
    <w:p w14:paraId="58FE99EC">
      <w:pPr>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4.主管部门职能</w:t>
      </w:r>
    </w:p>
    <w:p w14:paraId="59C3F5EE">
      <w:pPr>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我单位承担专项资金绩效管理的主体责任，主要负责提出专项资金分配方案，制定项目管理制度，组织项目评审和实施，开展项目验收、绩效评价和监督检查等工作。</w:t>
      </w:r>
    </w:p>
    <w:p w14:paraId="4C95C49E">
      <w:pPr>
        <w:adjustRightInd w:val="0"/>
        <w:snapToGrid w:val="0"/>
        <w:spacing w:line="578" w:lineRule="exact"/>
        <w:ind w:firstLine="643" w:firstLineChars="200"/>
        <w:rPr>
          <w:rFonts w:hint="eastAsia" w:ascii="仿宋_GB2312" w:hAnsi="仿宋_GB2312" w:eastAsia="仿宋_GB2312" w:cs="仿宋_GB2312"/>
          <w:b/>
          <w:sz w:val="32"/>
          <w:szCs w:val="32"/>
          <w:lang w:val="zh-CN"/>
        </w:rPr>
      </w:pPr>
      <w:r>
        <w:rPr>
          <w:rFonts w:hint="eastAsia" w:ascii="仿宋_GB2312" w:hAnsi="仿宋_GB2312" w:eastAsia="仿宋_GB2312" w:cs="仿宋_GB2312"/>
          <w:b/>
          <w:sz w:val="32"/>
          <w:szCs w:val="32"/>
          <w:lang w:val="zh-CN"/>
        </w:rPr>
        <w:t>（二）</w:t>
      </w:r>
      <w:r>
        <w:rPr>
          <w:rFonts w:hint="eastAsia" w:ascii="仿宋_GB2312" w:hAnsi="仿宋_GB2312" w:eastAsia="仿宋_GB2312" w:cs="仿宋_GB2312"/>
          <w:b/>
          <w:sz w:val="32"/>
          <w:szCs w:val="32"/>
        </w:rPr>
        <w:t>实施目的及支持方向。</w:t>
      </w:r>
    </w:p>
    <w:p w14:paraId="3006FA29">
      <w:pPr>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1.项目资金管理办法制定情况</w:t>
      </w:r>
    </w:p>
    <w:p w14:paraId="5FB7F8F1">
      <w:pPr>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我单位结合实际制定</w:t>
      </w:r>
      <w:r>
        <w:rPr>
          <w:rFonts w:hint="eastAsia" w:ascii="仿宋_GB2312" w:hAnsi="仿宋_GB2312" w:eastAsia="仿宋_GB2312" w:cs="仿宋_GB2312"/>
          <w:kern w:val="0"/>
          <w:sz w:val="32"/>
          <w:szCs w:val="32"/>
          <w:lang w:eastAsia="zh-CN"/>
        </w:rPr>
        <w:t>和完善</w:t>
      </w:r>
      <w:r>
        <w:rPr>
          <w:rFonts w:hint="eastAsia" w:ascii="仿宋_GB2312" w:hAnsi="仿宋_GB2312" w:eastAsia="仿宋_GB2312" w:cs="仿宋_GB2312"/>
          <w:kern w:val="0"/>
          <w:sz w:val="32"/>
          <w:szCs w:val="32"/>
        </w:rPr>
        <w:t>了项目</w:t>
      </w:r>
      <w:r>
        <w:rPr>
          <w:rFonts w:hint="eastAsia" w:ascii="仿宋_GB2312" w:hAnsi="仿宋_GB2312" w:eastAsia="仿宋_GB2312" w:cs="仿宋_GB2312"/>
          <w:kern w:val="0"/>
          <w:sz w:val="32"/>
          <w:szCs w:val="32"/>
          <w:lang w:eastAsia="zh-CN"/>
        </w:rPr>
        <w:t>资金</w:t>
      </w:r>
      <w:r>
        <w:rPr>
          <w:rFonts w:hint="eastAsia" w:ascii="仿宋_GB2312" w:hAnsi="仿宋_GB2312" w:eastAsia="仿宋_GB2312" w:cs="仿宋_GB2312"/>
          <w:kern w:val="0"/>
          <w:sz w:val="32"/>
          <w:szCs w:val="32"/>
        </w:rPr>
        <w:t>管理办法，项目管理办法有效执行。</w:t>
      </w:r>
    </w:p>
    <w:p w14:paraId="2EA398ED">
      <w:pPr>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2.项目实施目的和主要工作任务</w:t>
      </w:r>
    </w:p>
    <w:p w14:paraId="3A520E54">
      <w:pPr>
        <w:spacing w:line="560" w:lineRule="exact"/>
        <w:ind w:firstLine="640" w:firstLineChars="200"/>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日常城市管理工作；城区范围内的环境卫生，生活垃圾等废弃物的收集、清运、城区环境卫生设施的保洁，城区街道、广场、公共场所等环境的清扫保洁时产生的劳务费、环卫用品费、环卫车辆燃油及维修费。对城区范围内的道路、桥梁、广场、路灯等市政设施实行统一维护和管理产生的市政维修维护费、材料费、劳务费。对城区范围内的花草、树木等园林绿化实行统一维护和管理时产生的费用。对城区范围的占道经营等管理产生的相关费用。</w:t>
      </w:r>
    </w:p>
    <w:p w14:paraId="681C9265">
      <w:pPr>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3.项目支持方向</w:t>
      </w:r>
    </w:p>
    <w:p w14:paraId="05CA03C9">
      <w:pPr>
        <w:spacing w:line="560" w:lineRule="exact"/>
        <w:ind w:firstLine="640" w:firstLineChars="200"/>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该项目资金主要用于城市管理工作的所有开支。</w:t>
      </w:r>
    </w:p>
    <w:p w14:paraId="1D607041">
      <w:pPr>
        <w:widowControl/>
        <w:adjustRightInd w:val="0"/>
        <w:snapToGrid w:val="0"/>
        <w:spacing w:line="578" w:lineRule="exact"/>
        <w:ind w:firstLine="643" w:firstLineChars="200"/>
        <w:contextualSpacing/>
        <w:jc w:val="left"/>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b/>
          <w:sz w:val="32"/>
          <w:szCs w:val="32"/>
          <w:lang w:val="zh-CN"/>
        </w:rPr>
        <w:t>（三）</w:t>
      </w:r>
      <w:r>
        <w:rPr>
          <w:rFonts w:hint="eastAsia" w:ascii="仿宋_GB2312" w:hAnsi="仿宋_GB2312" w:eastAsia="仿宋_GB2312" w:cs="仿宋_GB2312"/>
          <w:b/>
          <w:sz w:val="32"/>
          <w:szCs w:val="32"/>
        </w:rPr>
        <w:t>预算安排及分配管理</w:t>
      </w:r>
      <w:r>
        <w:rPr>
          <w:rFonts w:hint="eastAsia" w:ascii="仿宋_GB2312" w:hAnsi="仿宋_GB2312" w:eastAsia="仿宋_GB2312" w:cs="仿宋_GB2312"/>
          <w:b/>
          <w:sz w:val="32"/>
          <w:szCs w:val="32"/>
          <w:lang w:val="zh-CN"/>
        </w:rPr>
        <w:t>。</w:t>
      </w:r>
    </w:p>
    <w:p w14:paraId="11152467">
      <w:pPr>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1.项目预算安排情况</w:t>
      </w:r>
    </w:p>
    <w:p w14:paraId="7E64C6EF">
      <w:pPr>
        <w:spacing w:line="560" w:lineRule="exact"/>
        <w:ind w:firstLine="640" w:firstLineChars="200"/>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预算申报项目资金金额为125万元，批复金额为125万元，实际使用金额125万元，项目资金符合资金管理办法等相关规定。资金按批复金额在项目实施前全部到位，与资金计划相契合，资金到位率、到位及时性均为100%，保障项目能够如期开展。</w:t>
      </w:r>
    </w:p>
    <w:p w14:paraId="57C68EBB">
      <w:pPr>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2.项目资金分配原则及考虑因素</w:t>
      </w:r>
    </w:p>
    <w:p w14:paraId="3C1A61FB">
      <w:pPr>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项目采用因素法进行项目资金分配，因素法分配财政资金是指事先设定财政资金分配时考虑的主要因素以及不同因素各占的比重，将资金分配到部门或地方，由部门或地方政府按照特定的资金用途，确定具体支持的项目并组织实施。</w:t>
      </w:r>
    </w:p>
    <w:p w14:paraId="53B16825">
      <w:pPr>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3.项目资金分配情况</w:t>
      </w:r>
    </w:p>
    <w:p w14:paraId="5BEF8349">
      <w:pPr>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项目总预算资金为</w:t>
      </w:r>
      <w:r>
        <w:rPr>
          <w:rFonts w:hint="eastAsia" w:ascii="仿宋_GB2312" w:hAnsi="仿宋_GB2312" w:eastAsia="仿宋_GB2312" w:cs="仿宋_GB2312"/>
          <w:kern w:val="0"/>
          <w:sz w:val="32"/>
          <w:szCs w:val="32"/>
          <w:lang w:val="en-US" w:eastAsia="zh-CN"/>
        </w:rPr>
        <w:t>125</w:t>
      </w:r>
      <w:r>
        <w:rPr>
          <w:rFonts w:hint="eastAsia" w:ascii="仿宋_GB2312" w:hAnsi="仿宋_GB2312" w:eastAsia="仿宋_GB2312" w:cs="仿宋_GB2312"/>
          <w:kern w:val="0"/>
          <w:sz w:val="32"/>
          <w:szCs w:val="32"/>
        </w:rPr>
        <w:t>万元，来源为</w:t>
      </w:r>
      <w:r>
        <w:rPr>
          <w:rFonts w:hint="eastAsia" w:ascii="仿宋_GB2312" w:hAnsi="仿宋_GB2312" w:eastAsia="仿宋_GB2312" w:cs="仿宋_GB2312"/>
          <w:kern w:val="0"/>
          <w:sz w:val="32"/>
          <w:szCs w:val="32"/>
          <w:lang w:eastAsia="zh-CN"/>
        </w:rPr>
        <w:t>县级财政</w:t>
      </w:r>
      <w:r>
        <w:rPr>
          <w:rFonts w:hint="eastAsia" w:ascii="仿宋_GB2312" w:hAnsi="仿宋_GB2312" w:eastAsia="仿宋_GB2312" w:cs="仿宋_GB2312"/>
          <w:kern w:val="0"/>
          <w:sz w:val="32"/>
          <w:szCs w:val="32"/>
        </w:rPr>
        <w:t>专项资金，预算资金分配充分，资金分配额度合理，与项目单位实际相适应。</w:t>
      </w:r>
      <w:r>
        <w:rPr>
          <w:rFonts w:hint="eastAsia" w:ascii="仿宋_GB2312" w:hAnsi="仿宋_GB2312" w:eastAsia="仿宋_GB2312" w:cs="仿宋_GB2312"/>
          <w:kern w:val="0"/>
          <w:sz w:val="32"/>
          <w:szCs w:val="32"/>
          <w:lang w:val="en-US" w:eastAsia="zh-CN"/>
        </w:rPr>
        <w:t xml:space="preserve"> 目前项目资金已全部支出，支付范围为清扫保洁时产生的劳务费、环卫用品费、环卫车辆燃油及维修费和对城区范围内的道路、桥梁、广场、路灯等市政设施实行统一维护和管理产生的市政维修维护费、材料费、劳务费，支付依据合规合法，与预算相符。</w:t>
      </w:r>
    </w:p>
    <w:p w14:paraId="05624EE7">
      <w:pPr>
        <w:adjustRightInd w:val="0"/>
        <w:snapToGrid w:val="0"/>
        <w:spacing w:line="578" w:lineRule="exact"/>
        <w:ind w:firstLine="643" w:firstLineChars="200"/>
        <w:rPr>
          <w:rFonts w:hint="eastAsia" w:ascii="仿宋_GB2312" w:hAnsi="仿宋_GB2312" w:eastAsia="仿宋_GB2312" w:cs="仿宋_GB2312"/>
          <w:b/>
          <w:sz w:val="32"/>
          <w:szCs w:val="32"/>
          <w:lang w:val="zh-CN"/>
        </w:rPr>
      </w:pPr>
      <w:r>
        <w:rPr>
          <w:rFonts w:hint="eastAsia" w:ascii="仿宋_GB2312" w:hAnsi="仿宋_GB2312" w:eastAsia="仿宋_GB2312" w:cs="仿宋_GB2312"/>
          <w:b/>
          <w:sz w:val="32"/>
          <w:szCs w:val="32"/>
          <w:lang w:val="zh-CN"/>
        </w:rPr>
        <w:t>（四）项目绩效目标设置。</w:t>
      </w:r>
    </w:p>
    <w:p w14:paraId="3DCFA1FC">
      <w:pPr>
        <w:spacing w:line="560" w:lineRule="exact"/>
        <w:ind w:firstLine="640" w:firstLineChars="200"/>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城市维护费项目用于城区街道、广场、公共场所等环境的清扫保洁时产生的劳务费、环卫用品费、环卫车辆燃油及维修费。对城区范围内的道路、桥梁、广场、路灯等市政设施实行统一维护和管理产生的市政维修维护费、材料费、劳务费。此项目能完善城市基础设施建设，对城区范围内的花草、树木等园林绿化、道路、桥梁、广场、路灯等市政设施实行统一维护和管理。</w:t>
      </w:r>
    </w:p>
    <w:p w14:paraId="0BA43194">
      <w:pPr>
        <w:adjustRightInd w:val="0"/>
        <w:snapToGrid w:val="0"/>
        <w:spacing w:line="578"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二、评价实施</w:t>
      </w:r>
    </w:p>
    <w:p w14:paraId="245537CD">
      <w:pPr>
        <w:spacing w:line="578"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lang w:val="zh-CN"/>
        </w:rPr>
        <w:t>（一）评价目的。</w:t>
      </w:r>
    </w:p>
    <w:p w14:paraId="62C1B743">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为了进一步规范和加强预算绩效管理和专项资金管理，为项目设立和预算安排提供重要参考依据，提高预算编制科学性、合理性，优化财政支出结构，从源头上防控财政资源配置的低效无效，提高财政资源配置效率和财政资金使用效益，</w:t>
      </w:r>
      <w:r>
        <w:rPr>
          <w:rFonts w:hint="eastAsia" w:ascii="仿宋_GB2312" w:hAnsi="仿宋_GB2312" w:eastAsia="仿宋_GB2312" w:cs="仿宋_GB2312"/>
          <w:kern w:val="0"/>
          <w:sz w:val="32"/>
          <w:szCs w:val="32"/>
          <w:lang w:val="en-US" w:eastAsia="zh-CN"/>
        </w:rPr>
        <w:t>阿坝州财政局</w:t>
      </w:r>
      <w:r>
        <w:rPr>
          <w:rFonts w:hint="eastAsia" w:ascii="仿宋_GB2312" w:hAnsi="仿宋_GB2312" w:eastAsia="仿宋_GB2312" w:cs="仿宋_GB2312"/>
          <w:kern w:val="0"/>
          <w:sz w:val="32"/>
          <w:szCs w:val="32"/>
        </w:rPr>
        <w:t>印发《</w:t>
      </w:r>
      <w:r>
        <w:rPr>
          <w:rFonts w:hint="eastAsia" w:ascii="仿宋_GB2312" w:hAnsi="仿宋_GB2312" w:eastAsia="仿宋_GB2312" w:cs="仿宋_GB2312"/>
          <w:kern w:val="0"/>
          <w:sz w:val="32"/>
          <w:szCs w:val="32"/>
          <w:lang w:val="en-US" w:eastAsia="zh-CN"/>
        </w:rPr>
        <w:t>阿坝州财政局关于开展 2025年州级部门绩效自评工作的</w:t>
      </w:r>
      <w:r>
        <w:rPr>
          <w:rFonts w:hint="eastAsia" w:ascii="仿宋_GB2312" w:hAnsi="仿宋_GB2312" w:eastAsia="仿宋_GB2312" w:cs="仿宋_GB2312"/>
          <w:kern w:val="0"/>
          <w:sz w:val="32"/>
          <w:szCs w:val="32"/>
          <w:lang w:eastAsia="zh-CN"/>
        </w:rPr>
        <w:t>通知</w:t>
      </w:r>
      <w:r>
        <w:rPr>
          <w:rFonts w:hint="eastAsia" w:ascii="仿宋_GB2312" w:hAnsi="仿宋_GB2312" w:eastAsia="仿宋_GB2312" w:cs="仿宋_GB2312"/>
          <w:kern w:val="0"/>
          <w:sz w:val="32"/>
          <w:szCs w:val="32"/>
        </w:rPr>
        <w:t>》（</w:t>
      </w:r>
      <w:r>
        <w:rPr>
          <w:rFonts w:hint="eastAsia" w:ascii="仿宋_GB2312" w:hAnsi="仿宋_GB2312" w:eastAsia="仿宋_GB2312" w:cs="仿宋_GB2312"/>
          <w:kern w:val="0"/>
          <w:sz w:val="32"/>
          <w:szCs w:val="32"/>
          <w:lang w:val="en-US" w:eastAsia="zh-CN"/>
        </w:rPr>
        <w:t>阿州财监绩〔2025〕4号</w:t>
      </w:r>
      <w:r>
        <w:rPr>
          <w:rFonts w:hint="eastAsia" w:ascii="仿宋_GB2312" w:hAnsi="仿宋_GB2312" w:eastAsia="仿宋_GB2312" w:cs="仿宋_GB2312"/>
          <w:kern w:val="0"/>
          <w:sz w:val="32"/>
          <w:szCs w:val="32"/>
        </w:rPr>
        <w:t>），要求</w:t>
      </w:r>
      <w:r>
        <w:rPr>
          <w:rFonts w:hint="eastAsia" w:ascii="仿宋_GB2312" w:hAnsi="仿宋_GB2312" w:eastAsia="仿宋_GB2312" w:cs="仿宋_GB2312"/>
          <w:kern w:val="0"/>
          <w:sz w:val="32"/>
          <w:szCs w:val="32"/>
          <w:lang w:eastAsia="zh-CN"/>
        </w:rPr>
        <w:t>各部门（单位）</w:t>
      </w:r>
      <w:r>
        <w:rPr>
          <w:rFonts w:hint="eastAsia" w:ascii="仿宋_GB2312" w:hAnsi="仿宋_GB2312" w:eastAsia="仿宋_GB2312" w:cs="仿宋_GB2312"/>
          <w:kern w:val="0"/>
          <w:sz w:val="32"/>
          <w:szCs w:val="32"/>
        </w:rPr>
        <w:t>按照</w:t>
      </w:r>
      <w:r>
        <w:rPr>
          <w:rFonts w:hint="eastAsia" w:ascii="仿宋_GB2312" w:hAnsi="仿宋_GB2312" w:eastAsia="仿宋_GB2312" w:cs="仿宋_GB2312"/>
          <w:kern w:val="0"/>
          <w:sz w:val="32"/>
          <w:szCs w:val="32"/>
          <w:lang w:eastAsia="zh-CN"/>
        </w:rPr>
        <w:t>州财政局</w:t>
      </w:r>
      <w:r>
        <w:rPr>
          <w:rFonts w:hint="eastAsia" w:ascii="仿宋_GB2312" w:hAnsi="仿宋_GB2312" w:eastAsia="仿宋_GB2312" w:cs="仿宋_GB2312"/>
          <w:kern w:val="0"/>
          <w:sz w:val="32"/>
          <w:szCs w:val="32"/>
        </w:rPr>
        <w:t>制定的相关制度办法和共性绩效指标框架，建立涵盖项目决策、项目管理、项目实施、项目结果、民生保障五个板块，覆盖所有管理对象，贯穿绩效目标管理、事前评估、事中监控、事后评价以及绩效结果应用全过程的本部门的具体措施、实施细则和指标体系，形成全州全面实施预算绩效管理制度体系格局。通过本次评价总结经验，发现问题，提出改进建议，进一步提升加强项目支出绩效管理水平、提升预算管理水平、提升项目管理水平。</w:t>
      </w:r>
    </w:p>
    <w:p w14:paraId="54AB0BAC">
      <w:pPr>
        <w:adjustRightInd w:val="0"/>
        <w:snapToGrid w:val="0"/>
        <w:spacing w:line="578"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lang w:val="zh-CN"/>
        </w:rPr>
        <w:t>（二）预设问题及评价重点。</w:t>
      </w:r>
      <w:r>
        <w:rPr>
          <w:rFonts w:hint="eastAsia" w:ascii="仿宋_GB2312" w:hAnsi="仿宋_GB2312" w:eastAsia="仿宋_GB2312" w:cs="仿宋_GB2312"/>
          <w:sz w:val="32"/>
          <w:szCs w:val="32"/>
        </w:rPr>
        <w:t xml:space="preserve"> </w:t>
      </w:r>
    </w:p>
    <w:p w14:paraId="678E3037">
      <w:pPr>
        <w:adjustRightInd w:val="0"/>
        <w:snapToGrid w:val="0"/>
        <w:spacing w:line="578" w:lineRule="exact"/>
        <w:ind w:firstLine="640" w:firstLineChars="200"/>
        <w:rPr>
          <w:rFonts w:hint="eastAsia" w:ascii="仿宋_GB2312" w:hAnsi="仿宋_GB2312" w:eastAsia="仿宋_GB2312" w:cs="仿宋_GB2312"/>
          <w:b/>
          <w:sz w:val="32"/>
          <w:szCs w:val="32"/>
          <w:lang w:val="zh-CN"/>
        </w:rPr>
      </w:pPr>
      <w:r>
        <w:rPr>
          <w:rFonts w:hint="eastAsia" w:ascii="仿宋_GB2312" w:hAnsi="仿宋_GB2312" w:eastAsia="仿宋_GB2312" w:cs="仿宋_GB2312"/>
          <w:kern w:val="0"/>
          <w:sz w:val="32"/>
          <w:szCs w:val="32"/>
        </w:rPr>
        <w:t>本次评价主要针对该项目的规划编制的内容完整性和项目实施工作的质量问题，结合该项目资金的使用情况来完整的体现。</w:t>
      </w:r>
    </w:p>
    <w:p w14:paraId="3427667A">
      <w:pPr>
        <w:adjustRightInd w:val="0"/>
        <w:snapToGrid w:val="0"/>
        <w:spacing w:line="578" w:lineRule="exact"/>
        <w:ind w:firstLine="643"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b/>
          <w:sz w:val="32"/>
          <w:szCs w:val="32"/>
          <w:lang w:val="zh-CN"/>
        </w:rPr>
        <w:t>（三）评价选点。</w:t>
      </w:r>
    </w:p>
    <w:p w14:paraId="7FFB3940">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eastAsia="zh-CN"/>
        </w:rPr>
        <w:t>城市维护费</w:t>
      </w:r>
      <w:r>
        <w:rPr>
          <w:rFonts w:hint="eastAsia" w:ascii="仿宋_GB2312" w:hAnsi="仿宋_GB2312" w:eastAsia="仿宋_GB2312" w:cs="仿宋_GB2312"/>
          <w:kern w:val="0"/>
          <w:sz w:val="32"/>
          <w:szCs w:val="32"/>
        </w:rPr>
        <w:t>项目主要开展工作地点为</w:t>
      </w:r>
      <w:r>
        <w:rPr>
          <w:rFonts w:hint="eastAsia" w:ascii="仿宋_GB2312" w:hAnsi="仿宋_GB2312" w:eastAsia="仿宋_GB2312" w:cs="仿宋_GB2312"/>
          <w:kern w:val="0"/>
          <w:sz w:val="32"/>
          <w:szCs w:val="32"/>
          <w:lang w:eastAsia="zh-CN"/>
        </w:rPr>
        <w:t>黑水</w:t>
      </w:r>
      <w:r>
        <w:rPr>
          <w:rFonts w:hint="eastAsia" w:ascii="仿宋_GB2312" w:hAnsi="仿宋_GB2312" w:eastAsia="仿宋_GB2312" w:cs="仿宋_GB2312"/>
          <w:kern w:val="0"/>
          <w:sz w:val="32"/>
          <w:szCs w:val="32"/>
        </w:rPr>
        <w:t>县，本次绩效评价主体为</w:t>
      </w:r>
      <w:r>
        <w:rPr>
          <w:rFonts w:hint="eastAsia" w:ascii="仿宋_GB2312" w:hAnsi="仿宋_GB2312" w:eastAsia="仿宋_GB2312" w:cs="仿宋_GB2312"/>
          <w:kern w:val="0"/>
          <w:sz w:val="32"/>
          <w:szCs w:val="32"/>
          <w:lang w:val="en-US" w:eastAsia="zh-CN"/>
        </w:rPr>
        <w:t>黑水县</w:t>
      </w:r>
      <w:r>
        <w:rPr>
          <w:rFonts w:hint="eastAsia" w:ascii="仿宋_GB2312" w:hAnsi="仿宋_GB2312" w:eastAsia="仿宋_GB2312" w:cs="仿宋_GB2312"/>
          <w:kern w:val="0"/>
          <w:sz w:val="32"/>
          <w:szCs w:val="32"/>
          <w:lang w:eastAsia="zh-CN"/>
        </w:rPr>
        <w:t>财政局</w:t>
      </w:r>
      <w:r>
        <w:rPr>
          <w:rFonts w:hint="eastAsia" w:ascii="仿宋_GB2312" w:hAnsi="仿宋_GB2312" w:eastAsia="仿宋_GB2312" w:cs="仿宋_GB2312"/>
          <w:kern w:val="0"/>
          <w:sz w:val="32"/>
          <w:szCs w:val="32"/>
        </w:rPr>
        <w:t>，项目不</w:t>
      </w:r>
      <w:r>
        <w:rPr>
          <w:rFonts w:hint="eastAsia" w:ascii="仿宋_GB2312" w:hAnsi="仿宋_GB2312" w:eastAsia="仿宋_GB2312" w:cs="仿宋_GB2312"/>
          <w:kern w:val="0"/>
          <w:sz w:val="32"/>
          <w:szCs w:val="32"/>
          <w:lang w:eastAsia="zh-CN"/>
        </w:rPr>
        <w:t>涉及其他</w:t>
      </w:r>
      <w:r>
        <w:rPr>
          <w:rFonts w:hint="eastAsia" w:ascii="仿宋_GB2312" w:hAnsi="仿宋_GB2312" w:eastAsia="仿宋_GB2312" w:cs="仿宋_GB2312"/>
          <w:kern w:val="0"/>
          <w:sz w:val="32"/>
          <w:szCs w:val="32"/>
        </w:rPr>
        <w:t>点位。</w:t>
      </w:r>
    </w:p>
    <w:p w14:paraId="0FC8086A">
      <w:pPr>
        <w:spacing w:line="578"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lang w:val="zh-CN"/>
        </w:rPr>
        <w:t>（四）评价方法。</w:t>
      </w:r>
    </w:p>
    <w:p w14:paraId="35817827">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采用先进的绩效评价方法和科学的数据分析是取得正确客观评价结论的重要保障，评价组从以下方法中择优组织，对项目实施评价，通过定量和定性分析得出评价结论。</w:t>
      </w:r>
    </w:p>
    <w:p w14:paraId="138C7D9C">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1.比较分析法。是指通过对绩效目标与实施效果、历史与当期情况、不同部门和地区同类支出的比较，综合分析绩效目标实现程度。</w:t>
      </w:r>
    </w:p>
    <w:p w14:paraId="287DDB32">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2.因素分析法。是指通过综合分析影响绩效目标实现、实施效果的内外因素，评价绩效目标实现程度。</w:t>
      </w:r>
    </w:p>
    <w:p w14:paraId="30B39676">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3.最低成本分析法。是指对效益确定却不易计量的多个同类对象的实施成本进行比较，评价绩效目标实现程度。</w:t>
      </w:r>
    </w:p>
    <w:p w14:paraId="0AD17161">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4.双重交叉分析法。通过对项目建设前后的比较，根据成效等方面去寻找和分析政策产生的影响。</w:t>
      </w:r>
    </w:p>
    <w:p w14:paraId="2A596E11">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5.随机访谈法。针对部分项目负责人及实施主体进行了询问和访谈，如项目实施情况的必要性、可行性和满意度等进行随机访谈。</w:t>
      </w:r>
    </w:p>
    <w:p w14:paraId="6AF5FCBF">
      <w:pPr>
        <w:spacing w:line="578" w:lineRule="exact"/>
        <w:ind w:firstLine="640"/>
        <w:rPr>
          <w:rFonts w:hint="eastAsia" w:ascii="仿宋_GB2312" w:hAnsi="仿宋_GB2312" w:eastAsia="仿宋_GB2312" w:cs="仿宋_GB2312"/>
          <w:bCs/>
          <w:sz w:val="32"/>
          <w:szCs w:val="32"/>
        </w:rPr>
      </w:pPr>
      <w:r>
        <w:rPr>
          <w:rFonts w:hint="eastAsia" w:ascii="仿宋_GB2312" w:hAnsi="仿宋_GB2312" w:eastAsia="仿宋_GB2312" w:cs="仿宋_GB2312"/>
          <w:b/>
          <w:sz w:val="32"/>
          <w:szCs w:val="32"/>
          <w:lang w:val="zh-CN"/>
        </w:rPr>
        <w:t>（五）评价组织。</w:t>
      </w:r>
    </w:p>
    <w:p w14:paraId="5B42C637">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1.领导小组职责：</w:t>
      </w:r>
    </w:p>
    <w:p w14:paraId="55897F03">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（1）研究和决定同级政府公共事业管理绩效评价中的重大问题。</w:t>
      </w:r>
    </w:p>
    <w:p w14:paraId="60787AFE">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（2）组织协调绩效评价工作，确保评价的顺利进行。</w:t>
      </w:r>
    </w:p>
    <w:p w14:paraId="1F855879">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（3）对各单位的工作目标、绩效考核结果和等次、奖惩方案进行审核，并报同级党委和政府审定。</w:t>
      </w:r>
    </w:p>
    <w:p w14:paraId="3E77FDA9">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2.办公室职责：</w:t>
      </w:r>
    </w:p>
    <w:p w14:paraId="55FECF42">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（1）提出全省（市、县）政府公共事业管理绩效评价的工作方案，并负责具体组织实施。</w:t>
      </w:r>
    </w:p>
    <w:p w14:paraId="2D55EB20">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（2）综合评价信息，提出评价结果</w:t>
      </w:r>
      <w:r>
        <w:rPr>
          <w:rFonts w:hint="eastAsia" w:ascii="仿宋_GB2312" w:hAnsi="仿宋_GB2312" w:eastAsia="仿宋_GB2312" w:cs="仿宋_GB2312"/>
          <w:kern w:val="0"/>
          <w:sz w:val="32"/>
          <w:szCs w:val="32"/>
          <w:lang w:eastAsia="zh-CN"/>
        </w:rPr>
        <w:t>等</w:t>
      </w:r>
      <w:r>
        <w:rPr>
          <w:rFonts w:hint="eastAsia" w:ascii="仿宋_GB2312" w:hAnsi="仿宋_GB2312" w:eastAsia="仿宋_GB2312" w:cs="仿宋_GB2312"/>
          <w:kern w:val="0"/>
          <w:sz w:val="32"/>
          <w:szCs w:val="32"/>
        </w:rPr>
        <w:t>次认定方案及奖惩方案等。</w:t>
      </w:r>
    </w:p>
    <w:p w14:paraId="25B2AF45">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（3）负责绩效评价的日常工作，包括宣传、沟通、协调等。</w:t>
      </w:r>
    </w:p>
    <w:p w14:paraId="5EDD9CCE">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（4）根据评价结果撰写绩效评价报告，并递交给领导小组。</w:t>
      </w:r>
    </w:p>
    <w:p w14:paraId="1EC89E2C">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3.具体执行人员职责：</w:t>
      </w:r>
    </w:p>
    <w:p w14:paraId="133F9E35">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（1）组长：审批绩效自评方案，监督、检查、核实绩效自评结果。</w:t>
      </w:r>
    </w:p>
    <w:p w14:paraId="2D7D77BF">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（2）副组长：审核修改拟定的绩效自评方案，并提交考评工作组会议讨论通过；监督、部署、确认绩效自评过程及反馈意见的处理。</w:t>
      </w:r>
    </w:p>
    <w:p w14:paraId="0A40100A">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小组成员：起草和修改绩效考评方案报自评领导工作组会议讨论通过，实施执行绩效自评方案；牵头组织并实施年度绩效自评，根据组长、副组长指示，对考评结果进行复核，完成绩效自核工作组安排的其他工作。</w:t>
      </w:r>
    </w:p>
    <w:p w14:paraId="0DE31E0D">
      <w:pPr>
        <w:adjustRightInd w:val="0"/>
        <w:snapToGrid w:val="0"/>
        <w:spacing w:line="578"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rPr>
        <w:t>三、绩效分析</w:t>
      </w:r>
      <w:r>
        <w:rPr>
          <w:rFonts w:hint="eastAsia" w:ascii="仿宋_GB2312" w:hAnsi="仿宋_GB2312" w:eastAsia="仿宋_GB2312" w:cs="仿宋_GB2312"/>
          <w:sz w:val="32"/>
          <w:szCs w:val="32"/>
          <w:lang w:val="zh-CN"/>
        </w:rPr>
        <w:tab/>
      </w:r>
    </w:p>
    <w:p w14:paraId="14DD11F7">
      <w:pPr>
        <w:spacing w:line="578" w:lineRule="exact"/>
        <w:ind w:firstLine="64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lang w:val="zh-CN"/>
        </w:rPr>
        <w:t>（一）</w:t>
      </w:r>
      <w:r>
        <w:rPr>
          <w:rFonts w:hint="eastAsia" w:ascii="仿宋_GB2312" w:hAnsi="仿宋_GB2312" w:eastAsia="仿宋_GB2312" w:cs="仿宋_GB2312"/>
          <w:b/>
          <w:sz w:val="32"/>
          <w:szCs w:val="32"/>
        </w:rPr>
        <w:t>通用指标</w:t>
      </w:r>
      <w:r>
        <w:rPr>
          <w:rFonts w:hint="eastAsia" w:ascii="仿宋_GB2312" w:hAnsi="仿宋_GB2312" w:eastAsia="仿宋_GB2312" w:cs="仿宋_GB2312"/>
          <w:b/>
          <w:bCs/>
          <w:color w:val="000000"/>
          <w:kern w:val="0"/>
          <w:sz w:val="32"/>
          <w:szCs w:val="32"/>
          <w:shd w:val="clear" w:color="auto" w:fill="FFFFFF"/>
          <w:lang w:val="zh-CN"/>
        </w:rPr>
        <w:t>绩效分析。</w:t>
      </w:r>
    </w:p>
    <w:p w14:paraId="6C3AD13F">
      <w:pPr>
        <w:spacing w:line="578"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1.项目决策。</w:t>
      </w:r>
    </w:p>
    <w:p w14:paraId="7F5907AF">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（1）决策程序</w:t>
      </w:r>
    </w:p>
    <w:p w14:paraId="001D3F6B">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项目设立、调整延续等方面符合资金管理基本规范和决策程序要求，该项指标得分6分。</w:t>
      </w:r>
    </w:p>
    <w:p w14:paraId="54CBAB38">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（2）规划论证</w:t>
      </w:r>
    </w:p>
    <w:p w14:paraId="46D38312">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项目规划符合中央、省委省政府有关决策部署安排，项目充分评估论证了立项必要性、前瞻性、合理性和可行性。项目总体绩效目标设置合理性的偏离度≤15%，绩效目标科学合理、规范完整、量化细化、预算匹配，</w:t>
      </w:r>
      <w:r>
        <w:rPr>
          <w:rFonts w:hint="eastAsia" w:ascii="仿宋_GB2312" w:hAnsi="仿宋_GB2312" w:eastAsia="仿宋_GB2312" w:cs="仿宋_GB2312"/>
          <w:kern w:val="0"/>
          <w:sz w:val="32"/>
          <w:szCs w:val="32"/>
          <w:lang w:eastAsia="zh-CN"/>
        </w:rPr>
        <w:t>但部门绩效存在设置不规范的情况，扣</w:t>
      </w:r>
      <w:r>
        <w:rPr>
          <w:rFonts w:hint="eastAsia" w:ascii="仿宋_GB2312" w:hAnsi="仿宋_GB2312" w:eastAsia="仿宋_GB2312" w:cs="仿宋_GB2312"/>
          <w:kern w:val="0"/>
          <w:sz w:val="32"/>
          <w:szCs w:val="32"/>
          <w:lang w:val="en-US" w:eastAsia="zh-CN"/>
        </w:rPr>
        <w:t>2分，</w:t>
      </w:r>
      <w:r>
        <w:rPr>
          <w:rFonts w:hint="eastAsia" w:ascii="仿宋_GB2312" w:hAnsi="仿宋_GB2312" w:eastAsia="仿宋_GB2312" w:cs="仿宋_GB2312"/>
          <w:kern w:val="0"/>
          <w:sz w:val="32"/>
          <w:szCs w:val="32"/>
        </w:rPr>
        <w:t>该项指标得分</w:t>
      </w:r>
      <w:r>
        <w:rPr>
          <w:rFonts w:hint="eastAsia" w:ascii="仿宋_GB2312" w:hAnsi="仿宋_GB2312" w:eastAsia="仿宋_GB2312" w:cs="仿宋_GB2312"/>
          <w:kern w:val="0"/>
          <w:sz w:val="32"/>
          <w:szCs w:val="32"/>
          <w:lang w:val="en-US" w:eastAsia="zh-CN"/>
        </w:rPr>
        <w:t>4</w:t>
      </w:r>
      <w:r>
        <w:rPr>
          <w:rFonts w:hint="eastAsia" w:ascii="仿宋_GB2312" w:hAnsi="仿宋_GB2312" w:eastAsia="仿宋_GB2312" w:cs="仿宋_GB2312"/>
          <w:kern w:val="0"/>
          <w:sz w:val="32"/>
          <w:szCs w:val="32"/>
        </w:rPr>
        <w:t>分。</w:t>
      </w:r>
    </w:p>
    <w:p w14:paraId="7A1F79DD">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（3）资金投向</w:t>
      </w:r>
    </w:p>
    <w:p w14:paraId="3E3FD1D3">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项目属于政府支持范围，且符合财政事权支出责任划分规定，资金投向与项目总体规划、相关行业事业发展相匹配，聚焦重大任务、重点领域、重点环节和重点项目，体现“集中</w:t>
      </w:r>
      <w:r>
        <w:rPr>
          <w:rFonts w:hint="eastAsia" w:ascii="仿宋_GB2312" w:hAnsi="仿宋_GB2312" w:eastAsia="仿宋_GB2312" w:cs="仿宋_GB2312"/>
          <w:kern w:val="0"/>
          <w:sz w:val="32"/>
          <w:szCs w:val="32"/>
          <w:lang w:eastAsia="zh-CN"/>
        </w:rPr>
        <w:t>力量</w:t>
      </w:r>
      <w:r>
        <w:rPr>
          <w:rFonts w:hint="eastAsia" w:ascii="仿宋_GB2312" w:hAnsi="仿宋_GB2312" w:eastAsia="仿宋_GB2312" w:cs="仿宋_GB2312"/>
          <w:kern w:val="0"/>
          <w:sz w:val="32"/>
          <w:szCs w:val="32"/>
        </w:rPr>
        <w:t>办大事”原则，避免“撒胡椒面”，未与其他同类项目或部门内部相关项目交叉重复，该项指标得分6分。</w:t>
      </w:r>
    </w:p>
    <w:p w14:paraId="3C591A83">
      <w:pPr>
        <w:spacing w:line="578"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2.项目管理。</w:t>
      </w:r>
    </w:p>
    <w:p w14:paraId="4843F0A4">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（1）制度办法</w:t>
      </w:r>
    </w:p>
    <w:p w14:paraId="33E29450">
      <w:pPr>
        <w:adjustRightInd w:val="0"/>
        <w:snapToGrid w:val="0"/>
        <w:spacing w:line="578" w:lineRule="exact"/>
        <w:ind w:firstLine="640" w:firstLineChars="200"/>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资金管理办法等管理制度体系健全完善，不存在管理制度缺失、管理办法过期情况</w:t>
      </w:r>
      <w:r>
        <w:rPr>
          <w:rFonts w:hint="eastAsia" w:ascii="仿宋_GB2312" w:hAnsi="仿宋_GB2312" w:eastAsia="仿宋_GB2312" w:cs="仿宋_GB2312"/>
          <w:kern w:val="0"/>
          <w:sz w:val="32"/>
          <w:szCs w:val="32"/>
        </w:rPr>
        <w:t>，该项指标得分</w:t>
      </w:r>
      <w:r>
        <w:rPr>
          <w:rFonts w:hint="eastAsia" w:ascii="仿宋_GB2312" w:hAnsi="仿宋_GB2312" w:eastAsia="仿宋_GB2312" w:cs="仿宋_GB2312"/>
          <w:kern w:val="0"/>
          <w:sz w:val="32"/>
          <w:szCs w:val="32"/>
          <w:lang w:val="en-US" w:eastAsia="zh-CN"/>
        </w:rPr>
        <w:t>2</w:t>
      </w:r>
      <w:r>
        <w:rPr>
          <w:rFonts w:hint="eastAsia" w:ascii="仿宋_GB2312" w:hAnsi="仿宋_GB2312" w:eastAsia="仿宋_GB2312" w:cs="仿宋_GB2312"/>
          <w:kern w:val="0"/>
          <w:sz w:val="32"/>
          <w:szCs w:val="32"/>
        </w:rPr>
        <w:t>分</w:t>
      </w:r>
      <w:r>
        <w:rPr>
          <w:rFonts w:hint="eastAsia" w:ascii="仿宋_GB2312" w:hAnsi="仿宋_GB2312" w:eastAsia="仿宋_GB2312" w:cs="仿宋_GB2312"/>
          <w:kern w:val="0"/>
          <w:sz w:val="32"/>
          <w:szCs w:val="32"/>
          <w:lang w:eastAsia="zh-CN"/>
        </w:rPr>
        <w:t>。</w:t>
      </w:r>
    </w:p>
    <w:p w14:paraId="1B974FB7">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（2）分配管理</w:t>
      </w:r>
    </w:p>
    <w:p w14:paraId="3852FABC">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资金分配因素选取充分考虑了相关行业事业发展实际和发展需求，资金分配因素的权重设置有效突出了项目实施重点，资金区域分布结果公平合理，建设了项目储备库，实行了入库项目动态管理、推动了资金竞争性分配，明确了项目申报审核程序，按规定程序履行了项目审批，资金分配依据充分合理，资金分配严格按管理办法执行，决策程序符合管理要求，及时高效，该项指标得分10分。</w:t>
      </w:r>
    </w:p>
    <w:p w14:paraId="65475A7F">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（3）绩效监管</w:t>
      </w:r>
    </w:p>
    <w:p w14:paraId="5ABFAAA8">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项目按中央、省委要求全面完成绩效目标（含事前评估）、绩效评价、以前年度问题整改等预算绩效管理工作；省级部门对市县主管部门预算绩效管理要求到位，不存在对市县资金分配和项目管理指导力度不够的情况，对市县开展了评价、监督、指导等工作，该项指标得分6分。</w:t>
      </w:r>
    </w:p>
    <w:p w14:paraId="752613E0">
      <w:pPr>
        <w:spacing w:line="578" w:lineRule="exact"/>
        <w:ind w:left="420" w:left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3.项目实施。围绕、进行绩效分析。</w:t>
      </w:r>
    </w:p>
    <w:p w14:paraId="46EBCA78">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（1）预算执行</w:t>
      </w:r>
    </w:p>
    <w:p w14:paraId="06317C77">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财政资金已按照要求拨付完毕，拨付率100%，该项指标得分=财政资金拨付率×100%×6=6分。</w:t>
      </w:r>
    </w:p>
    <w:p w14:paraId="779BC952">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（2）资金使用</w:t>
      </w:r>
    </w:p>
    <w:p w14:paraId="6097E533">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该项指标得分3分。</w:t>
      </w:r>
    </w:p>
    <w:p w14:paraId="760D7733">
      <w:pPr>
        <w:spacing w:line="578" w:lineRule="exact"/>
        <w:ind w:left="420" w:left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4.项目结果。</w:t>
      </w:r>
    </w:p>
    <w:p w14:paraId="2AE90F92">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（1）目标完成</w:t>
      </w:r>
    </w:p>
    <w:p w14:paraId="1C3BF3E8">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项目完成预期目标，实施结果与绩效目标相匹配，该项指标得分6分。</w:t>
      </w:r>
    </w:p>
    <w:p w14:paraId="1A86B840">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（2）完成时效</w:t>
      </w:r>
    </w:p>
    <w:p w14:paraId="0C11AB35">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项目实际完成时间与计划完成时间相符，该项指标得分3分。</w:t>
      </w:r>
    </w:p>
    <w:p w14:paraId="1B66FBE2">
      <w:pPr>
        <w:spacing w:line="578" w:lineRule="exact"/>
        <w:ind w:firstLine="643"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b/>
          <w:sz w:val="32"/>
          <w:szCs w:val="32"/>
          <w:lang w:val="zh-CN"/>
        </w:rPr>
        <w:t>（二）</w:t>
      </w:r>
      <w:r>
        <w:rPr>
          <w:rFonts w:hint="eastAsia" w:ascii="仿宋_GB2312" w:hAnsi="仿宋_GB2312" w:eastAsia="仿宋_GB2312" w:cs="仿宋_GB2312"/>
          <w:b/>
          <w:sz w:val="32"/>
          <w:szCs w:val="32"/>
        </w:rPr>
        <w:t>专用指标</w:t>
      </w:r>
      <w:r>
        <w:rPr>
          <w:rFonts w:hint="eastAsia" w:ascii="仿宋_GB2312" w:hAnsi="仿宋_GB2312" w:eastAsia="仿宋_GB2312" w:cs="仿宋_GB2312"/>
          <w:b/>
          <w:bCs/>
          <w:color w:val="000000"/>
          <w:kern w:val="0"/>
          <w:sz w:val="32"/>
          <w:szCs w:val="32"/>
          <w:shd w:val="clear" w:color="auto" w:fill="FFFFFF"/>
          <w:lang w:val="zh-CN"/>
        </w:rPr>
        <w:t>绩效分析。</w:t>
      </w:r>
    </w:p>
    <w:p w14:paraId="2B487293">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民生保障。</w:t>
      </w:r>
    </w:p>
    <w:p w14:paraId="07FB94F0">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资金分配科学合理、均衡公平，资金实际支持对象符合管理要求，符合支持对象范围，资金实际补贴标准符合资金管理办法规定的补助标准，及时按标准兑现，</w:t>
      </w:r>
      <w:r>
        <w:rPr>
          <w:rFonts w:hint="eastAsia" w:ascii="仿宋_GB2312" w:hAnsi="仿宋_GB2312" w:eastAsia="仿宋_GB2312" w:cs="仿宋_GB2312"/>
          <w:kern w:val="0"/>
          <w:sz w:val="32"/>
          <w:szCs w:val="32"/>
          <w:lang w:eastAsia="zh-CN"/>
        </w:rPr>
        <w:t>市民</w:t>
      </w:r>
      <w:r>
        <w:rPr>
          <w:rFonts w:hint="eastAsia" w:ascii="仿宋_GB2312" w:hAnsi="仿宋_GB2312" w:eastAsia="仿宋_GB2312" w:cs="仿宋_GB2312"/>
          <w:kern w:val="0"/>
          <w:sz w:val="32"/>
          <w:szCs w:val="32"/>
        </w:rPr>
        <w:t>满意度较高，该项指标得分30分。</w:t>
      </w:r>
    </w:p>
    <w:p w14:paraId="3B352449">
      <w:pPr>
        <w:spacing w:line="578"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lang w:val="zh-CN"/>
        </w:rPr>
        <w:t>（三）</w:t>
      </w:r>
      <w:r>
        <w:rPr>
          <w:rFonts w:hint="eastAsia" w:ascii="仿宋_GB2312" w:hAnsi="仿宋_GB2312" w:eastAsia="仿宋_GB2312" w:cs="仿宋_GB2312"/>
          <w:b/>
          <w:sz w:val="32"/>
          <w:szCs w:val="32"/>
        </w:rPr>
        <w:t>个性指标</w:t>
      </w:r>
      <w:r>
        <w:rPr>
          <w:rFonts w:hint="eastAsia" w:ascii="仿宋_GB2312" w:hAnsi="仿宋_GB2312" w:eastAsia="仿宋_GB2312" w:cs="仿宋_GB2312"/>
          <w:b/>
          <w:bCs/>
          <w:color w:val="000000"/>
          <w:kern w:val="0"/>
          <w:sz w:val="32"/>
          <w:szCs w:val="32"/>
          <w:shd w:val="clear" w:color="auto" w:fill="FFFFFF"/>
          <w:lang w:val="zh-CN"/>
        </w:rPr>
        <w:t>绩效分析。</w:t>
      </w:r>
    </w:p>
    <w:p w14:paraId="1C192699">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项目已如期建成，资金已按期拨付</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项目实施后</w:t>
      </w:r>
      <w:r>
        <w:rPr>
          <w:rFonts w:hint="eastAsia" w:ascii="仿宋_GB2312" w:hAnsi="仿宋_GB2312" w:eastAsia="仿宋_GB2312" w:cs="仿宋_GB2312"/>
          <w:kern w:val="0"/>
          <w:sz w:val="32"/>
          <w:szCs w:val="32"/>
          <w:lang w:eastAsia="zh-CN"/>
        </w:rPr>
        <w:t>已</w:t>
      </w:r>
      <w:r>
        <w:rPr>
          <w:rFonts w:hint="eastAsia" w:ascii="仿宋_GB2312" w:hAnsi="仿宋_GB2312" w:eastAsia="仿宋_GB2312" w:cs="仿宋_GB2312"/>
          <w:kern w:val="0"/>
          <w:sz w:val="32"/>
          <w:szCs w:val="32"/>
        </w:rPr>
        <w:t>达到预期效果，该项指标得分16分。</w:t>
      </w:r>
    </w:p>
    <w:p w14:paraId="720CB260">
      <w:pPr>
        <w:pStyle w:val="4"/>
        <w:spacing w:line="60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四、评价结论</w:t>
      </w:r>
    </w:p>
    <w:p w14:paraId="0DEF92F0">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我单位严格按照绩效自评工作要求，秉承客观公正、实事求是的原则开展了</w:t>
      </w:r>
      <w:r>
        <w:rPr>
          <w:rFonts w:hint="eastAsia" w:ascii="仿宋_GB2312" w:hAnsi="仿宋_GB2312" w:eastAsia="仿宋_GB2312" w:cs="仿宋_GB2312"/>
          <w:kern w:val="0"/>
          <w:sz w:val="32"/>
          <w:szCs w:val="32"/>
          <w:lang w:eastAsia="zh-CN"/>
        </w:rPr>
        <w:t>城市维护费</w:t>
      </w:r>
      <w:r>
        <w:rPr>
          <w:rFonts w:hint="eastAsia" w:ascii="仿宋_GB2312" w:hAnsi="仿宋_GB2312" w:eastAsia="仿宋_GB2312" w:cs="仿宋_GB2312"/>
          <w:kern w:val="0"/>
          <w:sz w:val="32"/>
          <w:szCs w:val="32"/>
        </w:rPr>
        <w:t>项目支出绩效自评工作，经对各类指标进行评分和汇总分析，202</w:t>
      </w:r>
      <w:r>
        <w:rPr>
          <w:rFonts w:hint="eastAsia" w:ascii="仿宋_GB2312" w:hAnsi="仿宋_GB2312" w:eastAsia="仿宋_GB2312" w:cs="仿宋_GB2312"/>
          <w:kern w:val="0"/>
          <w:sz w:val="32"/>
          <w:szCs w:val="32"/>
          <w:lang w:val="en-US" w:eastAsia="zh-CN"/>
        </w:rPr>
        <w:t>4</w:t>
      </w:r>
      <w:r>
        <w:rPr>
          <w:rFonts w:hint="eastAsia" w:ascii="仿宋_GB2312" w:hAnsi="仿宋_GB2312" w:eastAsia="仿宋_GB2312" w:cs="仿宋_GB2312"/>
          <w:kern w:val="0"/>
          <w:sz w:val="32"/>
          <w:szCs w:val="32"/>
        </w:rPr>
        <w:t>年</w:t>
      </w:r>
      <w:r>
        <w:rPr>
          <w:rFonts w:hint="eastAsia" w:ascii="仿宋_GB2312" w:hAnsi="仿宋_GB2312" w:eastAsia="仿宋_GB2312" w:cs="仿宋_GB2312"/>
          <w:kern w:val="0"/>
          <w:sz w:val="32"/>
          <w:szCs w:val="32"/>
          <w:lang w:eastAsia="zh-CN"/>
        </w:rPr>
        <w:t>城市维护费</w:t>
      </w:r>
      <w:r>
        <w:rPr>
          <w:rFonts w:hint="eastAsia" w:ascii="仿宋_GB2312" w:hAnsi="仿宋_GB2312" w:eastAsia="仿宋_GB2312" w:cs="仿宋_GB2312"/>
          <w:kern w:val="0"/>
          <w:sz w:val="32"/>
          <w:szCs w:val="32"/>
        </w:rPr>
        <w:t>项目支出绩效评价综合得分</w:t>
      </w:r>
      <w:r>
        <w:rPr>
          <w:rFonts w:hint="eastAsia" w:ascii="仿宋_GB2312" w:hAnsi="仿宋_GB2312" w:eastAsia="仿宋_GB2312" w:cs="仿宋_GB2312"/>
          <w:kern w:val="0"/>
          <w:sz w:val="32"/>
          <w:szCs w:val="32"/>
          <w:lang w:val="en-US" w:eastAsia="zh-CN"/>
        </w:rPr>
        <w:t>98</w:t>
      </w:r>
      <w:r>
        <w:rPr>
          <w:rFonts w:hint="eastAsia" w:ascii="仿宋_GB2312" w:hAnsi="仿宋_GB2312" w:eastAsia="仿宋_GB2312" w:cs="仿宋_GB2312"/>
          <w:kern w:val="0"/>
          <w:sz w:val="32"/>
          <w:szCs w:val="32"/>
        </w:rPr>
        <w:t>分。评价结果显示，202</w:t>
      </w:r>
      <w:r>
        <w:rPr>
          <w:rFonts w:hint="eastAsia" w:ascii="仿宋_GB2312" w:hAnsi="仿宋_GB2312" w:eastAsia="仿宋_GB2312" w:cs="仿宋_GB2312"/>
          <w:kern w:val="0"/>
          <w:sz w:val="32"/>
          <w:szCs w:val="32"/>
          <w:lang w:val="en-US" w:eastAsia="zh-CN"/>
        </w:rPr>
        <w:t>4</w:t>
      </w:r>
      <w:r>
        <w:rPr>
          <w:rFonts w:hint="eastAsia" w:ascii="仿宋_GB2312" w:hAnsi="仿宋_GB2312" w:eastAsia="仿宋_GB2312" w:cs="仿宋_GB2312"/>
          <w:kern w:val="0"/>
          <w:sz w:val="32"/>
          <w:szCs w:val="32"/>
        </w:rPr>
        <w:t>年</w:t>
      </w:r>
      <w:r>
        <w:rPr>
          <w:rFonts w:hint="eastAsia" w:ascii="仿宋_GB2312" w:hAnsi="仿宋_GB2312" w:eastAsia="仿宋_GB2312" w:cs="仿宋_GB2312"/>
          <w:kern w:val="0"/>
          <w:sz w:val="32"/>
          <w:szCs w:val="32"/>
          <w:lang w:eastAsia="zh-CN"/>
        </w:rPr>
        <w:t>城市维护费</w:t>
      </w:r>
      <w:r>
        <w:rPr>
          <w:rFonts w:hint="eastAsia" w:ascii="仿宋_GB2312" w:hAnsi="仿宋_GB2312" w:eastAsia="仿宋_GB2312" w:cs="仿宋_GB2312"/>
          <w:kern w:val="0"/>
          <w:sz w:val="32"/>
          <w:szCs w:val="32"/>
        </w:rPr>
        <w:t>项目按照相关规定进行使用和管理，程序较为规范，项目支出使用效益达到预期。</w:t>
      </w:r>
    </w:p>
    <w:p w14:paraId="6B870213">
      <w:pPr>
        <w:pStyle w:val="4"/>
        <w:spacing w:line="60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五、存在主要问题</w:t>
      </w:r>
    </w:p>
    <w:p w14:paraId="4563DC8A">
      <w:pPr>
        <w:adjustRightInd w:val="0"/>
        <w:snapToGrid w:val="0"/>
        <w:spacing w:line="578" w:lineRule="exact"/>
        <w:ind w:firstLine="640" w:firstLineChars="200"/>
        <w:rPr>
          <w:rFonts w:hint="eastAsia" w:ascii="仿宋_GB2312" w:hAnsi="仿宋_GB2312" w:eastAsia="仿宋_GB2312" w:cs="仿宋_GB2312"/>
          <w:kern w:val="0"/>
          <w:sz w:val="32"/>
          <w:szCs w:val="32"/>
          <w:lang w:val="zh-CN" w:eastAsia="zh-CN"/>
        </w:rPr>
      </w:pPr>
      <w:r>
        <w:rPr>
          <w:rFonts w:hint="eastAsia" w:ascii="仿宋_GB2312" w:hAnsi="仿宋_GB2312" w:eastAsia="仿宋_GB2312" w:cs="仿宋_GB2312"/>
          <w:kern w:val="0"/>
          <w:sz w:val="32"/>
          <w:szCs w:val="32"/>
          <w:lang w:val="en-US" w:eastAsia="zh-CN"/>
        </w:rPr>
        <w:t>绩效目标编报不规范</w:t>
      </w:r>
    </w:p>
    <w:p w14:paraId="41851515">
      <w:pPr>
        <w:adjustRightInd w:val="0"/>
        <w:snapToGrid w:val="0"/>
        <w:spacing w:line="578" w:lineRule="exact"/>
        <w:ind w:firstLine="640" w:firstLineChars="200"/>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绩效指标编制要素不完整，该项目绩效目标申报表中只设置了产出、效益、满意度三大类指标，未设置成本指标。二是绩效指标不规范，可持续影响指标“对提升市政管理工作效率，提升市政管理工作正规化水平的持续影响”设置不规范。</w:t>
      </w:r>
    </w:p>
    <w:p w14:paraId="247E61C9">
      <w:pPr>
        <w:pStyle w:val="4"/>
        <w:spacing w:line="600" w:lineRule="exact"/>
        <w:ind w:firstLine="640" w:firstLineChars="200"/>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六、改进建议</w:t>
      </w:r>
    </w:p>
    <w:p w14:paraId="4A5BC78F">
      <w:pPr>
        <w:adjustRightInd w:val="0"/>
        <w:snapToGrid w:val="0"/>
        <w:spacing w:line="578" w:lineRule="exact"/>
        <w:ind w:firstLine="640" w:firstLineChars="200"/>
        <w:rPr>
          <w:rFonts w:hint="eastAsia" w:ascii="仿宋_GB2312" w:hAnsi="仿宋_GB2312" w:eastAsia="仿宋_GB2312" w:cs="仿宋_GB2312"/>
          <w:kern w:val="0"/>
          <w:sz w:val="32"/>
          <w:szCs w:val="32"/>
          <w:lang w:val="en-US" w:eastAsia="zh-CN"/>
        </w:rPr>
      </w:pPr>
      <w:bookmarkStart w:id="0" w:name="_Hlk110546638"/>
      <w:r>
        <w:rPr>
          <w:rFonts w:hint="eastAsia" w:ascii="仿宋_GB2312" w:hAnsi="仿宋_GB2312" w:eastAsia="仿宋_GB2312" w:cs="仿宋_GB2312"/>
          <w:kern w:val="0"/>
          <w:sz w:val="32"/>
          <w:szCs w:val="32"/>
          <w:lang w:val="en-US" w:eastAsia="zh-CN"/>
        </w:rPr>
        <w:t>加强绩效目标管理，提高绩效目标编制质量</w:t>
      </w:r>
    </w:p>
    <w:p w14:paraId="5BF3746A">
      <w:pPr>
        <w:adjustRightInd w:val="0"/>
        <w:snapToGrid w:val="0"/>
        <w:spacing w:line="578" w:lineRule="exact"/>
        <w:ind w:firstLine="640" w:firstLineChars="200"/>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建议单位今后在编制部门整体绩效目标申报时，增加工作人员相关理论知识的培训与学习，按照项目具体内容，设置要素完整、指向明确、细化量化、合理可行、相应匹配的项目支出绩效目标，设置高度关联、重点突出、量化易评的项目支出绩效指标。</w:t>
      </w:r>
    </w:p>
    <w:p w14:paraId="5A06F351">
      <w:pPr>
        <w:tabs>
          <w:tab w:val="left" w:pos="1911"/>
        </w:tabs>
        <w:jc w:val="left"/>
        <w:rPr>
          <w:rFonts w:hint="eastAsia" w:ascii="仿宋_GB2312" w:hAnsi="仿宋_GB2312" w:eastAsia="仿宋_GB2312" w:cs="仿宋_GB2312"/>
          <w:kern w:val="0"/>
          <w:sz w:val="32"/>
          <w:szCs w:val="32"/>
          <w:lang w:val="en"/>
        </w:rPr>
      </w:pPr>
    </w:p>
    <w:bookmarkEnd w:id="0"/>
    <w:p w14:paraId="7C839102">
      <w:pPr>
        <w:snapToGrid w:val="0"/>
        <w:spacing w:line="578" w:lineRule="exact"/>
        <w:ind w:firstLine="640" w:firstLineChars="200"/>
        <w:rPr>
          <w:rFonts w:hint="eastAsia" w:ascii="仿宋_GB2312" w:hAnsi="仿宋_GB2312" w:eastAsia="仿宋_GB2312" w:cs="仿宋_GB2312"/>
          <w:color w:val="000000"/>
          <w:kern w:val="0"/>
          <w:sz w:val="32"/>
          <w:szCs w:val="32"/>
          <w:shd w:val="clear" w:color="auto" w:fill="FFFFFF"/>
          <w:lang w:val="zh-CN"/>
        </w:rPr>
      </w:pPr>
    </w:p>
    <w:p w14:paraId="1E0D85A6">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en-US" w:eastAsia="zh-CN"/>
        </w:rPr>
      </w:pPr>
      <w:r>
        <w:rPr>
          <w:rFonts w:hint="eastAsia" w:ascii="仿宋_GB2312" w:hAnsi="仿宋_GB2312" w:eastAsia="仿宋_GB2312" w:cs="仿宋_GB2312"/>
          <w:color w:val="000000"/>
          <w:kern w:val="0"/>
          <w:sz w:val="32"/>
          <w:szCs w:val="32"/>
          <w:highlight w:val="none"/>
          <w:shd w:val="clear" w:color="auto" w:fill="FFFFFF"/>
          <w:lang w:val="en-US" w:eastAsia="zh-CN"/>
        </w:rPr>
        <w:t>附表：1.专项预算绩效自评打分表</w:t>
      </w:r>
    </w:p>
    <w:p w14:paraId="6F6F699A">
      <w:pPr>
        <w:keepNext w:val="0"/>
        <w:keepLines w:val="0"/>
        <w:pageBreakBefore w:val="0"/>
        <w:kinsoku/>
        <w:wordWrap/>
        <w:overflowPunct/>
        <w:topLinePunct w:val="0"/>
        <w:autoSpaceDE/>
        <w:autoSpaceDN/>
        <w:bidi w:val="0"/>
        <w:adjustRightInd/>
        <w:snapToGrid w:val="0"/>
        <w:spacing w:line="578" w:lineRule="exact"/>
        <w:ind w:left="0" w:leftChars="0" w:firstLine="1600" w:firstLineChars="500"/>
        <w:textAlignment w:val="auto"/>
        <w:outlineLvl w:val="9"/>
        <w:rPr>
          <w:rFonts w:hint="eastAsia" w:ascii="仿宋_GB2312" w:hAnsi="仿宋_GB2312" w:eastAsia="仿宋_GB2312" w:cs="仿宋_GB2312"/>
          <w:color w:val="000000"/>
          <w:kern w:val="0"/>
          <w:sz w:val="32"/>
          <w:szCs w:val="32"/>
          <w:highlight w:val="none"/>
          <w:shd w:val="clear" w:color="auto" w:fill="FFFFFF"/>
          <w:lang w:val="en-US" w:eastAsia="zh-CN"/>
        </w:rPr>
      </w:pPr>
      <w:r>
        <w:rPr>
          <w:rFonts w:hint="eastAsia" w:ascii="仿宋_GB2312" w:hAnsi="仿宋_GB2312" w:eastAsia="仿宋_GB2312" w:cs="仿宋_GB2312"/>
          <w:color w:val="000000"/>
          <w:kern w:val="0"/>
          <w:sz w:val="32"/>
          <w:szCs w:val="32"/>
          <w:highlight w:val="none"/>
          <w:shd w:val="clear" w:color="auto" w:fill="FFFFFF"/>
          <w:lang w:val="en-US" w:eastAsia="zh-CN"/>
        </w:rPr>
        <w:t>2.专项预算绩效自评实地踏勘点位清单表</w:t>
      </w:r>
    </w:p>
    <w:p w14:paraId="2363B822">
      <w:pPr>
        <w:keepNext w:val="0"/>
        <w:keepLines w:val="0"/>
        <w:pageBreakBefore w:val="0"/>
        <w:kinsoku/>
        <w:wordWrap/>
        <w:overflowPunct/>
        <w:topLinePunct w:val="0"/>
        <w:autoSpaceDE/>
        <w:autoSpaceDN/>
        <w:bidi w:val="0"/>
        <w:adjustRightInd/>
        <w:snapToGrid w:val="0"/>
        <w:spacing w:line="578" w:lineRule="exact"/>
        <w:ind w:left="0" w:leftChars="0" w:firstLine="1600" w:firstLineChars="500"/>
        <w:textAlignment w:val="auto"/>
        <w:outlineLvl w:val="9"/>
        <w:rPr>
          <w:rFonts w:hint="eastAsia" w:ascii="仿宋_GB2312" w:hAnsi="仿宋_GB2312" w:eastAsia="仿宋_GB2312" w:cs="仿宋_GB2312"/>
          <w:color w:val="000000"/>
          <w:kern w:val="0"/>
          <w:sz w:val="32"/>
          <w:szCs w:val="32"/>
          <w:highlight w:val="none"/>
          <w:shd w:val="clear" w:color="auto" w:fill="FFFFFF"/>
          <w:lang w:val="en-US" w:eastAsia="zh-CN"/>
        </w:rPr>
      </w:pPr>
      <w:r>
        <w:rPr>
          <w:rFonts w:hint="eastAsia" w:ascii="仿宋_GB2312" w:hAnsi="仿宋_GB2312" w:eastAsia="仿宋_GB2312" w:cs="仿宋_GB2312"/>
          <w:color w:val="000000"/>
          <w:kern w:val="0"/>
          <w:sz w:val="32"/>
          <w:szCs w:val="32"/>
          <w:highlight w:val="none"/>
          <w:shd w:val="clear" w:color="auto" w:fill="FFFFFF"/>
          <w:lang w:val="en-US" w:eastAsia="zh-CN"/>
        </w:rPr>
        <w:t>3.专项预算项目绩效目标完成情况自评表</w:t>
      </w:r>
    </w:p>
    <w:p w14:paraId="745096C0">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eastAsia"/>
          <w:color w:val="000000"/>
          <w:kern w:val="0"/>
          <w:shd w:val="clear" w:color="auto" w:fill="FFFFFF"/>
          <w:lang w:val="zh-CN"/>
        </w:rPr>
        <w:br w:type="page"/>
      </w: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t>1</w:t>
      </w:r>
    </w:p>
    <w:p w14:paraId="22656097">
      <w:pPr>
        <w:keepNext w:val="0"/>
        <w:keepLines w:val="0"/>
        <w:pageBreakBefore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r>
        <w:rPr>
          <w:rFonts w:hint="eastAsia" w:ascii="Times New Roman" w:hAnsi="Times New Roman" w:eastAsia="方正小标宋_GBK" w:cs="Times New Roman"/>
          <w:b w:val="0"/>
          <w:bCs w:val="0"/>
          <w:color w:val="auto"/>
          <w:sz w:val="40"/>
          <w:szCs w:val="40"/>
          <w:highlight w:val="none"/>
          <w:u w:val="none"/>
          <w:lang w:val="en-US" w:eastAsia="zh-CN"/>
        </w:rPr>
        <w:t>专项</w:t>
      </w:r>
      <w:r>
        <w:rPr>
          <w:rFonts w:hint="default" w:ascii="Times New Roman" w:hAnsi="Times New Roman" w:eastAsia="方正小标宋_GBK" w:cs="Times New Roman"/>
          <w:b w:val="0"/>
          <w:bCs w:val="0"/>
          <w:color w:val="auto"/>
          <w:sz w:val="40"/>
          <w:szCs w:val="40"/>
          <w:highlight w:val="none"/>
          <w:u w:val="none"/>
          <w:lang w:val="en-US" w:eastAsia="zh-CN"/>
        </w:rPr>
        <w:t>预算绩效自评打分表</w:t>
      </w:r>
    </w:p>
    <w:tbl>
      <w:tblPr>
        <w:tblStyle w:val="9"/>
        <w:tblW w:w="109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0"/>
        <w:gridCol w:w="765"/>
        <w:gridCol w:w="766"/>
        <w:gridCol w:w="1188"/>
        <w:gridCol w:w="712"/>
        <w:gridCol w:w="5550"/>
        <w:gridCol w:w="732"/>
        <w:gridCol w:w="468"/>
      </w:tblGrid>
      <w:tr w14:paraId="4CA7A1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jc w:val="center"/>
        </w:trPr>
        <w:tc>
          <w:tcPr>
            <w:tcW w:w="4151" w:type="dxa"/>
            <w:gridSpan w:val="5"/>
            <w:tcBorders>
              <w:top w:val="single" w:color="000000" w:sz="4" w:space="0"/>
              <w:left w:val="single" w:color="000000" w:sz="4" w:space="0"/>
              <w:bottom w:val="nil"/>
              <w:right w:val="nil"/>
            </w:tcBorders>
            <w:noWrap w:val="0"/>
            <w:vAlign w:val="center"/>
          </w:tcPr>
          <w:p w14:paraId="5A1555E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绩效评价指标</w:t>
            </w:r>
          </w:p>
        </w:tc>
        <w:tc>
          <w:tcPr>
            <w:tcW w:w="5550" w:type="dxa"/>
            <w:vMerge w:val="restart"/>
            <w:tcBorders>
              <w:top w:val="single" w:color="000000" w:sz="4" w:space="0"/>
              <w:left w:val="single" w:color="000000" w:sz="4" w:space="0"/>
              <w:bottom w:val="single" w:color="000000" w:sz="4" w:space="0"/>
              <w:right w:val="single" w:color="000000" w:sz="4" w:space="0"/>
            </w:tcBorders>
            <w:noWrap w:val="0"/>
            <w:vAlign w:val="center"/>
          </w:tcPr>
          <w:p w14:paraId="2F23A72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指标解释</w:t>
            </w:r>
          </w:p>
        </w:tc>
        <w:tc>
          <w:tcPr>
            <w:tcW w:w="732" w:type="dxa"/>
            <w:vMerge w:val="restart"/>
            <w:tcBorders>
              <w:top w:val="single" w:color="000000" w:sz="4" w:space="0"/>
              <w:left w:val="single" w:color="000000" w:sz="4" w:space="0"/>
              <w:right w:val="single" w:color="000000" w:sz="4" w:space="0"/>
            </w:tcBorders>
            <w:noWrap w:val="0"/>
            <w:vAlign w:val="center"/>
          </w:tcPr>
          <w:p w14:paraId="6E5253C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自评得分</w:t>
            </w:r>
          </w:p>
        </w:tc>
        <w:tc>
          <w:tcPr>
            <w:tcW w:w="468" w:type="dxa"/>
            <w:vMerge w:val="restart"/>
            <w:tcBorders>
              <w:top w:val="single" w:color="000000" w:sz="4" w:space="0"/>
              <w:left w:val="single" w:color="000000" w:sz="4" w:space="0"/>
              <w:right w:val="single" w:color="000000" w:sz="4" w:space="0"/>
            </w:tcBorders>
            <w:noWrap w:val="0"/>
            <w:vAlign w:val="center"/>
          </w:tcPr>
          <w:p w14:paraId="4E04B08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备注</w:t>
            </w:r>
          </w:p>
        </w:tc>
      </w:tr>
      <w:tr w14:paraId="213423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4BAE668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一级指标</w:t>
            </w:r>
          </w:p>
        </w:tc>
        <w:tc>
          <w:tcPr>
            <w:tcW w:w="1531" w:type="dxa"/>
            <w:gridSpan w:val="2"/>
            <w:tcBorders>
              <w:top w:val="single" w:color="000000" w:sz="4" w:space="0"/>
              <w:left w:val="single" w:color="000000" w:sz="4" w:space="0"/>
              <w:bottom w:val="single" w:color="000000" w:sz="4" w:space="0"/>
              <w:right w:val="single" w:color="000000" w:sz="4" w:space="0"/>
            </w:tcBorders>
            <w:noWrap w:val="0"/>
            <w:vAlign w:val="center"/>
          </w:tcPr>
          <w:p w14:paraId="5BAC743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二级指标</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4422B17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三级指标</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7833C87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w:t>
            </w:r>
            <w:r>
              <w:rPr>
                <w:rFonts w:hint="eastAsia" w:ascii="黑体" w:hAnsi="宋体" w:eastAsia="黑体" w:cs="黑体"/>
                <w:i w:val="0"/>
                <w:color w:val="000000"/>
                <w:kern w:val="0"/>
                <w:sz w:val="24"/>
                <w:szCs w:val="24"/>
                <w:u w:val="none"/>
                <w:lang w:val="en-US" w:eastAsia="zh-CN" w:bidi="ar"/>
              </w:rPr>
              <w:br w:type="textWrapping"/>
            </w:r>
            <w:r>
              <w:rPr>
                <w:rFonts w:hint="eastAsia" w:ascii="黑体" w:hAnsi="宋体" w:eastAsia="黑体" w:cs="黑体"/>
                <w:i w:val="0"/>
                <w:color w:val="000000"/>
                <w:kern w:val="0"/>
                <w:sz w:val="24"/>
                <w:szCs w:val="24"/>
                <w:u w:val="none"/>
                <w:lang w:val="en-US" w:eastAsia="zh-CN" w:bidi="ar"/>
              </w:rPr>
              <w:t>分值</w:t>
            </w:r>
          </w:p>
        </w:tc>
        <w:tc>
          <w:tcPr>
            <w:tcW w:w="55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02E7F9">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732" w:type="dxa"/>
            <w:vMerge w:val="continue"/>
            <w:tcBorders>
              <w:left w:val="single" w:color="000000" w:sz="4" w:space="0"/>
              <w:bottom w:val="single" w:color="000000" w:sz="4" w:space="0"/>
              <w:right w:val="single" w:color="000000" w:sz="4" w:space="0"/>
            </w:tcBorders>
            <w:noWrap w:val="0"/>
            <w:vAlign w:val="center"/>
          </w:tcPr>
          <w:p w14:paraId="2F647DAE">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468" w:type="dxa"/>
            <w:vMerge w:val="continue"/>
            <w:tcBorders>
              <w:left w:val="single" w:color="000000" w:sz="4" w:space="0"/>
              <w:bottom w:val="single" w:color="000000" w:sz="4" w:space="0"/>
              <w:right w:val="single" w:color="000000" w:sz="4" w:space="0"/>
            </w:tcBorders>
            <w:noWrap w:val="0"/>
            <w:vAlign w:val="center"/>
          </w:tcPr>
          <w:p w14:paraId="112FA34B">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r>
      <w:tr w14:paraId="04DDF6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14:paraId="7334ABF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通用指标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（54分）</w:t>
            </w:r>
          </w:p>
        </w:tc>
        <w:tc>
          <w:tcPr>
            <w:tcW w:w="153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88BE93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项目决策</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（18分）</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0C8CB67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决策程序</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759E419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072289A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项目决策程序是否严密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7977FE8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472B4DA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36CB7F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DD70A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B79A30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709CCF9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规划论证</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74AFEEC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718C213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项目规划论证是否符合中央、省委要求，项目绩效目标设置是否科学合理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5BDD7F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4C4770C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01505A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E4EDC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153E10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6E91E16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资金投向</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67D203A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49ED12D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项目资金是否与项目总体规划、相关行业事业发展相匹配，是否聚焦重大任务、重点领域、重点环节和重点项目</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AC17FA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22103AC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471115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5EE24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4D2E13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（18分）</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321BF92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制度办法</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756292D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777A441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项目制度办法是否体系健全、要素完备</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79588C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2</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2D1122D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490897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175CC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8F4257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2F56F50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分配管理</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5541DD6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7533B70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项目资金分配因素</w:t>
            </w:r>
            <w:bookmarkStart w:id="1" w:name="_GoBack"/>
            <w:bookmarkEnd w:id="1"/>
            <w:r>
              <w:rPr>
                <w:rFonts w:hint="eastAsia" w:ascii="宋体" w:hAnsi="宋体" w:eastAsia="宋体" w:cs="宋体"/>
                <w:i w:val="0"/>
                <w:color w:val="000000"/>
                <w:kern w:val="0"/>
                <w:sz w:val="24"/>
                <w:szCs w:val="24"/>
                <w:u w:val="none"/>
                <w:lang w:val="en-US" w:eastAsia="zh-CN" w:bidi="ar"/>
              </w:rPr>
              <w:t>选取、权重设置、区域分布，项目管理、审批是否符合管理要求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7816D23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031CBE6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5B6795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0776F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DD5C1D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3FCE620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绩效监管</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762D0B7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3BA720B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管资金、项目、政策是否管绩效，项目绩效监管是否按要求开展，对下指导是否有力有效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4860F3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5679323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39DEC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CD7C2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CD11B3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项目实施</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（9分）</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1ADC5FC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预算执行</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44B115A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46E66EC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项目资金财政拨付、单位执行和地方配套到位情况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8D8A9D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78499BF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70F775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7B03E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B0967E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555F860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资金使用</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67CAAFD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7A0DAB2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资金使用拨付、项目实施是否符合规定</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3F636F1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45DEB95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2F56C1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E6C30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1FDEF8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项目结果</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（9分）</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5883571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目标完成</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7D6AF73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295401E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项目是否完成预期目标，实施结果是否与绩效目标相匹配，反映目标实现程度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AE484E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571F8A4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6CE166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9FF1E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C0C189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5B86B83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完成时效</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51FEF42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04713E5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项目实际完成时间与计划完成时间的比较</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C35CD0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3BF982D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59DA3F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14:paraId="376A6BA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专用指标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53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3502C4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产业发展</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2563248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符合性</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257F02A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7D35755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项目实施是否与省委省政府支持重点、产业支持政策符合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B6B7C1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0DA1D26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4DA237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DDC14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2549A7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6769378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成长性</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437EE6F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729F69F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项目实施对相关企业（机构）成长性的促进作用，主要反映支持对象创新创造创业能力情况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0047C28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66AC6DB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167558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9D36D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780AC3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5353F9E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经济性</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27B0D6F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3BAFC87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项目实施对相关企业（机构）主营业务收入、净利润、税收、产量等方面增长情况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002A250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4816D34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00B285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6767E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EDC190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民生保障</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3750BF6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区域均衡性</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5D7FA7F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4187EBA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项目资金分配体现的均衡公平情况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228818F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1935EB5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2B533C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C2879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8C731C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3C96936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对象精准性</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1141974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5B817A5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资金实际支持对象是否符合管理要求，是否符合支持对象范围</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77295FC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75AD89F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38E512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570DB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2A57B7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58D81D0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标准合理性</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447E0C1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15E59E4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资金实际补贴标准是否符合资金管理办法规定的补助标准，是否及时按标准兑现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5F47BF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2C39EA7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39C27F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DC116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13B942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23E0C0B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群众满意度</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4936469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3D9012F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资金涉及相关受益群体、支持对象的满意度调查访谈情况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7CEF4C0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1ED0740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2C8EA0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DBE4F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restart"/>
            <w:tcBorders>
              <w:top w:val="single" w:color="000000" w:sz="4" w:space="0"/>
              <w:left w:val="single" w:color="000000" w:sz="4" w:space="0"/>
              <w:bottom w:val="single" w:color="000000" w:sz="4" w:space="0"/>
              <w:right w:val="single" w:color="000000" w:sz="4" w:space="0"/>
            </w:tcBorders>
            <w:noWrap w:val="0"/>
            <w:vAlign w:val="center"/>
          </w:tcPr>
          <w:p w14:paraId="44AB21B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基础</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设施</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766" w:type="dxa"/>
            <w:vMerge w:val="restart"/>
            <w:tcBorders>
              <w:top w:val="single" w:color="000000" w:sz="4" w:space="0"/>
              <w:left w:val="single" w:color="000000" w:sz="4" w:space="0"/>
              <w:bottom w:val="single" w:color="000000" w:sz="4" w:space="0"/>
              <w:right w:val="single" w:color="000000" w:sz="4" w:space="0"/>
            </w:tcBorders>
            <w:noWrap w:val="0"/>
            <w:vAlign w:val="center"/>
          </w:tcPr>
          <w:p w14:paraId="7DE896D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在建</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项目</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5371013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工程进度</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10BCFB0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3CFF0CE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项目是否达到计划工程进度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2C000B4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51C10F8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5E79F4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59A77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B664E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6"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DABBC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2741C9A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资金拨付</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7DECC05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62E6A72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项目是否达到预先确定的资金拨付进度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260382C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5551237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42B5E5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47048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52486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6" w:type="dxa"/>
            <w:vMerge w:val="restart"/>
            <w:tcBorders>
              <w:top w:val="single" w:color="000000" w:sz="4" w:space="0"/>
              <w:left w:val="single" w:color="000000" w:sz="4" w:space="0"/>
              <w:bottom w:val="single" w:color="000000" w:sz="4" w:space="0"/>
              <w:right w:val="single" w:color="000000" w:sz="4" w:space="0"/>
            </w:tcBorders>
            <w:noWrap w:val="0"/>
            <w:vAlign w:val="center"/>
          </w:tcPr>
          <w:p w14:paraId="6243558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建成</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项目</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10C90A2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项目验收</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4CC70D8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7E0BD8E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项目验收是否及时合格</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0838D88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259B73D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161050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D1CA2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671F6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6"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C0423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47D474A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功能实现</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12D9E95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6EC9FB4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项目经济社会功能是否实现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637A66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156E0CF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39452D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CFC40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61DD3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6"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A6C35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1006ABC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后续管护</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570F19E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6DDFB70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项目后续维护是否实现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35F4454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270C264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498561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14:paraId="2D5886B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专用指标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53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2EE0E9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行政运转</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188" w:type="dxa"/>
            <w:tcBorders>
              <w:top w:val="nil"/>
              <w:left w:val="single" w:color="000000" w:sz="4" w:space="0"/>
              <w:bottom w:val="single" w:color="000000" w:sz="4" w:space="0"/>
              <w:right w:val="single" w:color="000000" w:sz="4" w:space="0"/>
            </w:tcBorders>
            <w:noWrap w:val="0"/>
            <w:vAlign w:val="center"/>
          </w:tcPr>
          <w:p w14:paraId="1D0DCD0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用途合规性</w:t>
            </w:r>
          </w:p>
        </w:tc>
        <w:tc>
          <w:tcPr>
            <w:tcW w:w="712" w:type="dxa"/>
            <w:tcBorders>
              <w:top w:val="nil"/>
              <w:left w:val="single" w:color="000000" w:sz="4" w:space="0"/>
              <w:bottom w:val="single" w:color="000000" w:sz="4" w:space="0"/>
              <w:right w:val="single" w:color="000000" w:sz="4" w:space="0"/>
            </w:tcBorders>
            <w:noWrap w:val="0"/>
            <w:vAlign w:val="center"/>
          </w:tcPr>
          <w:p w14:paraId="447EF5E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550" w:type="dxa"/>
            <w:tcBorders>
              <w:top w:val="nil"/>
              <w:left w:val="single" w:color="000000" w:sz="4" w:space="0"/>
              <w:bottom w:val="single" w:color="000000" w:sz="4" w:space="0"/>
              <w:right w:val="single" w:color="000000" w:sz="4" w:space="0"/>
            </w:tcBorders>
            <w:noWrap w:val="0"/>
            <w:vAlign w:val="center"/>
          </w:tcPr>
          <w:p w14:paraId="2A10DE9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是否按规定用途、适用范围进行本地区专项资金分配</w:t>
            </w:r>
          </w:p>
        </w:tc>
        <w:tc>
          <w:tcPr>
            <w:tcW w:w="732" w:type="dxa"/>
            <w:tcBorders>
              <w:top w:val="nil"/>
              <w:left w:val="single" w:color="000000" w:sz="4" w:space="0"/>
              <w:bottom w:val="single" w:color="000000" w:sz="4" w:space="0"/>
              <w:right w:val="single" w:color="000000" w:sz="4" w:space="0"/>
            </w:tcBorders>
            <w:noWrap w:val="0"/>
            <w:vAlign w:val="center"/>
          </w:tcPr>
          <w:p w14:paraId="258C2B8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nil"/>
              <w:left w:val="single" w:color="000000" w:sz="4" w:space="0"/>
              <w:bottom w:val="single" w:color="000000" w:sz="4" w:space="0"/>
              <w:right w:val="single" w:color="000000" w:sz="4" w:space="0"/>
            </w:tcBorders>
            <w:noWrap w:val="0"/>
            <w:vAlign w:val="center"/>
          </w:tcPr>
          <w:p w14:paraId="35CBEE9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66035A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21958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6546AB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188" w:type="dxa"/>
            <w:tcBorders>
              <w:top w:val="nil"/>
              <w:left w:val="single" w:color="000000" w:sz="4" w:space="0"/>
              <w:bottom w:val="single" w:color="000000" w:sz="4" w:space="0"/>
              <w:right w:val="single" w:color="000000" w:sz="4" w:space="0"/>
            </w:tcBorders>
            <w:noWrap w:val="0"/>
            <w:vAlign w:val="center"/>
          </w:tcPr>
          <w:p w14:paraId="7C33647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程序合规性</w:t>
            </w:r>
          </w:p>
        </w:tc>
        <w:tc>
          <w:tcPr>
            <w:tcW w:w="712" w:type="dxa"/>
            <w:tcBorders>
              <w:top w:val="nil"/>
              <w:left w:val="single" w:color="000000" w:sz="4" w:space="0"/>
              <w:bottom w:val="single" w:color="000000" w:sz="4" w:space="0"/>
              <w:right w:val="single" w:color="000000" w:sz="4" w:space="0"/>
            </w:tcBorders>
            <w:noWrap w:val="0"/>
            <w:vAlign w:val="center"/>
          </w:tcPr>
          <w:p w14:paraId="11DD32E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1CF3953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资金管理程序是否符合专项资金管理要求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28389C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1290F64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39F674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84D43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0B9583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188" w:type="dxa"/>
            <w:tcBorders>
              <w:top w:val="nil"/>
              <w:left w:val="single" w:color="000000" w:sz="4" w:space="0"/>
              <w:bottom w:val="single" w:color="000000" w:sz="4" w:space="0"/>
              <w:right w:val="single" w:color="000000" w:sz="4" w:space="0"/>
            </w:tcBorders>
            <w:noWrap w:val="0"/>
            <w:vAlign w:val="center"/>
          </w:tcPr>
          <w:p w14:paraId="3DE719A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标准合规性</w:t>
            </w:r>
          </w:p>
        </w:tc>
        <w:tc>
          <w:tcPr>
            <w:tcW w:w="712" w:type="dxa"/>
            <w:tcBorders>
              <w:top w:val="nil"/>
              <w:left w:val="single" w:color="000000" w:sz="4" w:space="0"/>
              <w:bottom w:val="single" w:color="000000" w:sz="4" w:space="0"/>
              <w:right w:val="single" w:color="000000" w:sz="4" w:space="0"/>
            </w:tcBorders>
            <w:noWrap w:val="0"/>
            <w:vAlign w:val="center"/>
          </w:tcPr>
          <w:p w14:paraId="728DF38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30A2417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资金分配标准是否符合专项资金管理要求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43B6E3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01650BF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182598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251"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1FAA6BA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个性指标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（16分）</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0374B2F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执行进度</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2D1B7C34">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2D2A6E3E">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项目是否如期完成。</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72EBC40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1D36A0F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776474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251"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696D56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3EAAB3B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资金拨付进度</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00B7110A">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78D41E62">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资金是否按期拨付。</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3F95E95D">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19C11025">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r>
      <w:tr w14:paraId="4439BE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251"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5DE756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79C5388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项目效果</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229F100F">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0F4F47A2">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项目实施后是否达到预期效果。</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2FC30FF5">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397BC503">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r>
      <w:tr w14:paraId="5076E5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251" w:type="dxa"/>
            <w:gridSpan w:val="3"/>
            <w:tcBorders>
              <w:top w:val="single" w:color="000000" w:sz="4" w:space="0"/>
              <w:left w:val="single" w:color="000000" w:sz="4" w:space="0"/>
              <w:bottom w:val="single" w:color="000000" w:sz="4" w:space="0"/>
              <w:right w:val="single" w:color="000000" w:sz="4" w:space="0"/>
            </w:tcBorders>
            <w:noWrap w:val="0"/>
            <w:vAlign w:val="center"/>
          </w:tcPr>
          <w:p w14:paraId="48B994A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扣分项</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（10分）</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101870A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部门配合度</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6FF08D9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74A4E4F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被评价对象工作配合情况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21C0010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4CC77DA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bl>
    <w:p w14:paraId="0EC1CC77">
      <w:pPr>
        <w:keepNext w:val="0"/>
        <w:keepLines w:val="0"/>
        <w:pageBreakBefore w:val="0"/>
        <w:kinsoku/>
        <w:wordWrap/>
        <w:overflowPunct/>
        <w:topLinePunct w:val="0"/>
        <w:autoSpaceDE/>
        <w:autoSpaceDN/>
        <w:bidi w:val="0"/>
        <w:spacing w:line="578" w:lineRule="exact"/>
        <w:ind w:left="0" w:leftChars="0"/>
        <w:jc w:val="both"/>
        <w:textAlignment w:val="auto"/>
        <w:rPr>
          <w:rFonts w:hint="default"/>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br w:type="page"/>
      </w: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ascii="Times New Roman" w:hAnsi="Times New Roman" w:cs="Times New Roman"/>
          <w:b w:val="0"/>
          <w:bCs w:val="0"/>
          <w:color w:val="auto"/>
          <w:kern w:val="0"/>
          <w:sz w:val="32"/>
          <w:szCs w:val="32"/>
          <w:highlight w:val="none"/>
          <w:u w:val="none"/>
          <w:shd w:val="clear" w:color="auto" w:fill="FFFFFF"/>
          <w:lang w:val="en-US" w:eastAsia="zh-CN"/>
        </w:rPr>
        <w:t>2</w:t>
      </w:r>
    </w:p>
    <w:p w14:paraId="205AD10E">
      <w:pPr>
        <w:keepNext w:val="0"/>
        <w:keepLines w:val="0"/>
        <w:pageBreakBefore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r>
        <w:rPr>
          <w:rFonts w:hint="default" w:ascii="Times New Roman" w:hAnsi="Times New Roman" w:eastAsia="方正小标宋_GBK" w:cs="Times New Roman"/>
          <w:b w:val="0"/>
          <w:bCs w:val="0"/>
          <w:color w:val="auto"/>
          <w:sz w:val="40"/>
          <w:szCs w:val="40"/>
          <w:highlight w:val="none"/>
          <w:u w:val="none"/>
          <w:lang w:val="en-US" w:eastAsia="zh-CN"/>
        </w:rPr>
        <w:t>专项预算绩效自评实地踏勘点位清单表</w:t>
      </w:r>
    </w:p>
    <w:p w14:paraId="2C2B0A65">
      <w:pPr>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hint="eastAsia" w:ascii="楷体_GB2312" w:hAnsi="楷体_GB2312" w:eastAsia="楷体_GB2312" w:cs="楷体_GB2312"/>
          <w:b w:val="0"/>
          <w:bCs w:val="0"/>
          <w:color w:val="auto"/>
          <w:sz w:val="28"/>
          <w:szCs w:val="28"/>
          <w:highlight w:val="none"/>
          <w:u w:val="none"/>
          <w:lang w:val="en-US" w:eastAsia="zh-CN"/>
        </w:rPr>
      </w:pPr>
      <w:r>
        <w:rPr>
          <w:rFonts w:hint="eastAsia" w:ascii="楷体_GB2312" w:hAnsi="楷体_GB2312" w:eastAsia="楷体_GB2312" w:cs="楷体_GB2312"/>
          <w:b w:val="0"/>
          <w:bCs w:val="0"/>
          <w:color w:val="auto"/>
          <w:sz w:val="28"/>
          <w:szCs w:val="28"/>
          <w:highlight w:val="none"/>
          <w:u w:val="none"/>
          <w:lang w:val="en-US" w:eastAsia="zh-CN"/>
        </w:rPr>
        <w:t>（例表）</w:t>
      </w:r>
    </w:p>
    <w:tbl>
      <w:tblPr>
        <w:tblStyle w:val="10"/>
        <w:tblW w:w="79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5956"/>
        <w:gridCol w:w="905"/>
      </w:tblGrid>
      <w:tr w14:paraId="261C0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7951CBE4">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序号</w:t>
            </w:r>
          </w:p>
        </w:tc>
        <w:tc>
          <w:tcPr>
            <w:tcW w:w="5956" w:type="dxa"/>
            <w:noWrap w:val="0"/>
            <w:vAlign w:val="top"/>
          </w:tcPr>
          <w:p w14:paraId="6D09ED8D">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实地踏勘点位</w:t>
            </w:r>
          </w:p>
        </w:tc>
        <w:tc>
          <w:tcPr>
            <w:tcW w:w="905" w:type="dxa"/>
            <w:noWrap w:val="0"/>
            <w:vAlign w:val="top"/>
          </w:tcPr>
          <w:p w14:paraId="41DFD7BA">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备注</w:t>
            </w:r>
          </w:p>
        </w:tc>
      </w:tr>
      <w:tr w14:paraId="6482B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6699FCEF">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1</w:t>
            </w:r>
          </w:p>
        </w:tc>
        <w:tc>
          <w:tcPr>
            <w:tcW w:w="5956" w:type="dxa"/>
            <w:noWrap w:val="0"/>
            <w:vAlign w:val="top"/>
          </w:tcPr>
          <w:p w14:paraId="0E608936">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US" w:eastAsia="zh-CN"/>
              </w:rPr>
            </w:pPr>
            <w:r>
              <w:rPr>
                <w:rFonts w:hint="eastAsia" w:cs="Times New Roman"/>
                <w:color w:val="auto"/>
                <w:sz w:val="24"/>
                <w:szCs w:val="24"/>
                <w:highlight w:val="none"/>
                <w:u w:val="none"/>
                <w:vertAlign w:val="baseline"/>
                <w:lang w:val="en-US" w:eastAsia="zh-CN"/>
              </w:rPr>
              <w:t>黑水县市政公用服务中心</w:t>
            </w:r>
          </w:p>
        </w:tc>
        <w:tc>
          <w:tcPr>
            <w:tcW w:w="905" w:type="dxa"/>
            <w:noWrap w:val="0"/>
            <w:vAlign w:val="top"/>
          </w:tcPr>
          <w:p w14:paraId="7B76F405">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2E260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6D41D2C4">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2</w:t>
            </w:r>
          </w:p>
        </w:tc>
        <w:tc>
          <w:tcPr>
            <w:tcW w:w="5956" w:type="dxa"/>
            <w:noWrap w:val="0"/>
            <w:vAlign w:val="top"/>
          </w:tcPr>
          <w:p w14:paraId="430F5709">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249E78C1">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4CF35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50503588">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3</w:t>
            </w:r>
          </w:p>
        </w:tc>
        <w:tc>
          <w:tcPr>
            <w:tcW w:w="5956" w:type="dxa"/>
            <w:noWrap w:val="0"/>
            <w:vAlign w:val="top"/>
          </w:tcPr>
          <w:p w14:paraId="36DB479A">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0ECC00BF">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604B5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3CA930C0">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4</w:t>
            </w:r>
          </w:p>
        </w:tc>
        <w:tc>
          <w:tcPr>
            <w:tcW w:w="5956" w:type="dxa"/>
            <w:noWrap w:val="0"/>
            <w:vAlign w:val="top"/>
          </w:tcPr>
          <w:p w14:paraId="18F87644">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171F0D90">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18206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18F0F739">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5</w:t>
            </w:r>
          </w:p>
        </w:tc>
        <w:tc>
          <w:tcPr>
            <w:tcW w:w="5956" w:type="dxa"/>
            <w:noWrap w:val="0"/>
            <w:vAlign w:val="top"/>
          </w:tcPr>
          <w:p w14:paraId="14ED2756">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4B9EA81F">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5DFE3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6F7568A4">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6</w:t>
            </w:r>
          </w:p>
        </w:tc>
        <w:tc>
          <w:tcPr>
            <w:tcW w:w="5956" w:type="dxa"/>
            <w:noWrap w:val="0"/>
            <w:vAlign w:val="top"/>
          </w:tcPr>
          <w:p w14:paraId="03A4805A">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478F3581">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7E2FB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20250D64">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7</w:t>
            </w:r>
          </w:p>
        </w:tc>
        <w:tc>
          <w:tcPr>
            <w:tcW w:w="5956" w:type="dxa"/>
            <w:noWrap w:val="0"/>
            <w:vAlign w:val="top"/>
          </w:tcPr>
          <w:p w14:paraId="7C7D4B7B">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0510CD5A">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1546B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2E072AB9">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8</w:t>
            </w:r>
          </w:p>
        </w:tc>
        <w:tc>
          <w:tcPr>
            <w:tcW w:w="5956" w:type="dxa"/>
            <w:noWrap w:val="0"/>
            <w:vAlign w:val="top"/>
          </w:tcPr>
          <w:p w14:paraId="61324004">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US" w:eastAsia="zh-CN"/>
              </w:rPr>
            </w:pPr>
          </w:p>
        </w:tc>
        <w:tc>
          <w:tcPr>
            <w:tcW w:w="905" w:type="dxa"/>
            <w:noWrap w:val="0"/>
            <w:vAlign w:val="top"/>
          </w:tcPr>
          <w:p w14:paraId="7C9E8D7F">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1CA62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2E6D608F">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9</w:t>
            </w:r>
          </w:p>
        </w:tc>
        <w:tc>
          <w:tcPr>
            <w:tcW w:w="5956" w:type="dxa"/>
            <w:noWrap w:val="0"/>
            <w:vAlign w:val="top"/>
          </w:tcPr>
          <w:p w14:paraId="2BAA22A2">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32DB159C">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34CA6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72F36CF9">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10</w:t>
            </w:r>
          </w:p>
        </w:tc>
        <w:tc>
          <w:tcPr>
            <w:tcW w:w="5956" w:type="dxa"/>
            <w:noWrap w:val="0"/>
            <w:vAlign w:val="top"/>
          </w:tcPr>
          <w:p w14:paraId="62C45771">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5861F359">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50F4C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215BCB84">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11</w:t>
            </w:r>
          </w:p>
        </w:tc>
        <w:tc>
          <w:tcPr>
            <w:tcW w:w="5956" w:type="dxa"/>
            <w:noWrap w:val="0"/>
            <w:vAlign w:val="top"/>
          </w:tcPr>
          <w:p w14:paraId="144069DC">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15CE7E25">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342A9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769C2C9C">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12</w:t>
            </w:r>
          </w:p>
        </w:tc>
        <w:tc>
          <w:tcPr>
            <w:tcW w:w="5956" w:type="dxa"/>
            <w:noWrap w:val="0"/>
            <w:vAlign w:val="top"/>
          </w:tcPr>
          <w:p w14:paraId="3FC40BE6">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6F36DE77">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5EF75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3889BFC4">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13</w:t>
            </w:r>
          </w:p>
        </w:tc>
        <w:tc>
          <w:tcPr>
            <w:tcW w:w="5956" w:type="dxa"/>
            <w:noWrap w:val="0"/>
            <w:vAlign w:val="top"/>
          </w:tcPr>
          <w:p w14:paraId="18815A31">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12ABEF31">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339AD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0333DA95">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14</w:t>
            </w:r>
          </w:p>
        </w:tc>
        <w:tc>
          <w:tcPr>
            <w:tcW w:w="5956" w:type="dxa"/>
            <w:noWrap w:val="0"/>
            <w:vAlign w:val="top"/>
          </w:tcPr>
          <w:p w14:paraId="4787FAD1">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2556D0C1">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1F018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5FEA83A9">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15</w:t>
            </w:r>
          </w:p>
        </w:tc>
        <w:tc>
          <w:tcPr>
            <w:tcW w:w="5956" w:type="dxa"/>
            <w:noWrap w:val="0"/>
            <w:vAlign w:val="top"/>
          </w:tcPr>
          <w:p w14:paraId="6A9F5D3D">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51A6410E">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7FC46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50CD2B01">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16</w:t>
            </w:r>
          </w:p>
        </w:tc>
        <w:tc>
          <w:tcPr>
            <w:tcW w:w="5956" w:type="dxa"/>
            <w:noWrap w:val="0"/>
            <w:vAlign w:val="top"/>
          </w:tcPr>
          <w:p w14:paraId="1A10D20E">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0F144DD2">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45686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4EA5D326">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17</w:t>
            </w:r>
          </w:p>
        </w:tc>
        <w:tc>
          <w:tcPr>
            <w:tcW w:w="5956" w:type="dxa"/>
            <w:noWrap w:val="0"/>
            <w:vAlign w:val="top"/>
          </w:tcPr>
          <w:p w14:paraId="0EE510BC">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2ACC1BF6">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0C5B1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52B2875B">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18</w:t>
            </w:r>
          </w:p>
        </w:tc>
        <w:tc>
          <w:tcPr>
            <w:tcW w:w="5956" w:type="dxa"/>
            <w:noWrap w:val="0"/>
            <w:vAlign w:val="top"/>
          </w:tcPr>
          <w:p w14:paraId="6DEB4A07">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2D110094">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318F8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26A71476">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19</w:t>
            </w:r>
          </w:p>
        </w:tc>
        <w:tc>
          <w:tcPr>
            <w:tcW w:w="5956" w:type="dxa"/>
            <w:noWrap w:val="0"/>
            <w:vAlign w:val="top"/>
          </w:tcPr>
          <w:p w14:paraId="5B94351D">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r>
              <w:rPr>
                <w:rFonts w:hint="eastAsia" w:cs="Times New Roman"/>
                <w:color w:val="auto"/>
                <w:sz w:val="24"/>
                <w:szCs w:val="24"/>
                <w:highlight w:val="none"/>
                <w:u w:val="none"/>
                <w:vertAlign w:val="baseline"/>
                <w:lang w:val="en" w:eastAsia="zh-CN"/>
              </w:rPr>
              <w:t>……</w:t>
            </w:r>
          </w:p>
        </w:tc>
        <w:tc>
          <w:tcPr>
            <w:tcW w:w="905" w:type="dxa"/>
            <w:noWrap w:val="0"/>
            <w:vAlign w:val="top"/>
          </w:tcPr>
          <w:p w14:paraId="169D1022">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70B64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248142D8">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20</w:t>
            </w:r>
          </w:p>
        </w:tc>
        <w:tc>
          <w:tcPr>
            <w:tcW w:w="5956" w:type="dxa"/>
            <w:noWrap w:val="0"/>
            <w:vAlign w:val="top"/>
          </w:tcPr>
          <w:p w14:paraId="39C8F169">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38B6AE46">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bl>
    <w:p w14:paraId="54666176">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宋体" w:cs="Times New Roman"/>
          <w:b w:val="0"/>
          <w:bCs w:val="0"/>
          <w:color w:val="auto"/>
          <w:sz w:val="21"/>
          <w:szCs w:val="21"/>
          <w:highlight w:val="none"/>
          <w:u w:val="none"/>
          <w:vertAlign w:val="baseline"/>
          <w:lang w:val="en-US" w:eastAsia="zh-CN"/>
        </w:rPr>
      </w:pPr>
      <w:r>
        <w:rPr>
          <w:rFonts w:hint="default" w:ascii="Times New Roman" w:hAnsi="Times New Roman" w:eastAsia="宋体" w:cs="Times New Roman"/>
          <w:b w:val="0"/>
          <w:bCs w:val="0"/>
          <w:color w:val="auto"/>
          <w:sz w:val="21"/>
          <w:szCs w:val="21"/>
          <w:highlight w:val="none"/>
          <w:u w:val="none"/>
          <w:vertAlign w:val="baseline"/>
          <w:lang w:val="en-US" w:eastAsia="zh-CN"/>
        </w:rPr>
        <w:t>备注：项目</w:t>
      </w:r>
      <w:r>
        <w:rPr>
          <w:rFonts w:hint="eastAsia" w:eastAsia="宋体" w:cs="Times New Roman"/>
          <w:b w:val="0"/>
          <w:bCs w:val="0"/>
          <w:color w:val="auto"/>
          <w:sz w:val="21"/>
          <w:szCs w:val="21"/>
          <w:highlight w:val="none"/>
          <w:u w:val="none"/>
          <w:vertAlign w:val="baseline"/>
          <w:lang w:val="en-US" w:eastAsia="zh-CN"/>
        </w:rPr>
        <w:t>实地踏勘</w:t>
      </w:r>
      <w:r>
        <w:rPr>
          <w:rFonts w:hint="default" w:ascii="Times New Roman" w:hAnsi="Times New Roman" w:eastAsia="宋体" w:cs="Times New Roman"/>
          <w:b w:val="0"/>
          <w:bCs w:val="0"/>
          <w:color w:val="auto"/>
          <w:sz w:val="21"/>
          <w:szCs w:val="21"/>
          <w:highlight w:val="none"/>
          <w:u w:val="none"/>
          <w:vertAlign w:val="baseline"/>
          <w:lang w:val="en-US" w:eastAsia="zh-CN"/>
        </w:rPr>
        <w:t>点位包括市（州）本级、县（市、区）</w:t>
      </w:r>
      <w:r>
        <w:rPr>
          <w:rFonts w:hint="eastAsia" w:eastAsia="宋体" w:cs="Times New Roman"/>
          <w:b w:val="0"/>
          <w:bCs w:val="0"/>
          <w:color w:val="auto"/>
          <w:sz w:val="21"/>
          <w:szCs w:val="21"/>
          <w:highlight w:val="none"/>
          <w:u w:val="none"/>
          <w:vertAlign w:val="baseline"/>
          <w:lang w:val="en-US" w:eastAsia="zh-CN"/>
        </w:rPr>
        <w:t>本级及有关项目、单位、公司</w:t>
      </w:r>
      <w:r>
        <w:rPr>
          <w:rFonts w:hint="default" w:ascii="Times New Roman" w:hAnsi="Times New Roman" w:eastAsia="宋体" w:cs="Times New Roman"/>
          <w:b w:val="0"/>
          <w:bCs w:val="0"/>
          <w:color w:val="auto"/>
          <w:sz w:val="21"/>
          <w:szCs w:val="21"/>
          <w:highlight w:val="none"/>
          <w:u w:val="none"/>
          <w:vertAlign w:val="baseline"/>
          <w:lang w:val="en-US" w:eastAsia="zh-CN"/>
        </w:rPr>
        <w:t>等。</w:t>
      </w:r>
    </w:p>
    <w:p w14:paraId="7B221D3D">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14:paraId="6CD787F9">
      <w:pPr>
        <w:keepNext w:val="0"/>
        <w:keepLines w:val="0"/>
        <w:pageBreakBefore w:val="0"/>
        <w:kinsoku/>
        <w:wordWrap/>
        <w:overflowPunct/>
        <w:topLinePunct w:val="0"/>
        <w:autoSpaceDE/>
        <w:autoSpaceDN/>
        <w:bidi w:val="0"/>
        <w:adjustRightInd/>
        <w:snapToGrid w:val="0"/>
        <w:spacing w:line="578" w:lineRule="exact"/>
        <w:textAlignment w:val="auto"/>
        <w:outlineLvl w:val="9"/>
        <w:rPr>
          <w:rFonts w:ascii="仿宋_GB2312" w:hAnsi="仿宋_GB2312" w:cs="仿宋_GB2312"/>
          <w:kern w:val="0"/>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br w:type="page"/>
      </w: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eastAsia="黑体" w:cs="Times New Roman"/>
          <w:b w:val="0"/>
          <w:bCs w:val="0"/>
          <w:color w:val="auto"/>
          <w:kern w:val="0"/>
          <w:sz w:val="32"/>
          <w:szCs w:val="32"/>
          <w:highlight w:val="none"/>
          <w:u w:val="none"/>
          <w:shd w:val="clear" w:color="auto" w:fill="FFFFFF"/>
          <w:lang w:val="en-US" w:eastAsia="zh-CN"/>
        </w:rPr>
        <w:t>3</w:t>
      </w:r>
    </w:p>
    <w:tbl>
      <w:tblPr>
        <w:tblStyle w:val="9"/>
        <w:tblpPr w:leftFromText="180" w:rightFromText="180" w:vertAnchor="text" w:horzAnchor="page" w:tblpX="932" w:tblpY="290"/>
        <w:tblOverlap w:val="never"/>
        <w:tblW w:w="10233" w:type="dxa"/>
        <w:tblInd w:w="0" w:type="dxa"/>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14:paraId="2B77CF56">
        <w:tblPrEx>
          <w:tblCellMar>
            <w:top w:w="15" w:type="dxa"/>
            <w:left w:w="15" w:type="dxa"/>
            <w:bottom w:w="15" w:type="dxa"/>
            <w:right w:w="15" w:type="dxa"/>
          </w:tblCellMar>
        </w:tblPrEx>
        <w:trPr>
          <w:trHeight w:val="576" w:hRule="atLeast"/>
        </w:trPr>
        <w:tc>
          <w:tcPr>
            <w:tcW w:w="10233" w:type="dxa"/>
            <w:gridSpan w:val="9"/>
            <w:noWrap w:val="0"/>
            <w:vAlign w:val="center"/>
          </w:tcPr>
          <w:p w14:paraId="20C3E3CE">
            <w:pPr>
              <w:widowControl/>
              <w:spacing w:line="600" w:lineRule="exact"/>
              <w:jc w:val="center"/>
              <w:textAlignment w:val="center"/>
              <w:rPr>
                <w:rFonts w:ascii="黑体" w:hAnsi="宋体" w:eastAsia="黑体" w:cs="黑体"/>
                <w:color w:val="000000"/>
                <w:sz w:val="30"/>
                <w:szCs w:val="30"/>
              </w:rPr>
            </w:pPr>
            <w:r>
              <w:rPr>
                <w:rFonts w:hint="eastAsia" w:ascii="方正小标宋简体" w:hAnsi="方正小标宋简体" w:eastAsia="方正小标宋简体" w:cs="方正小标宋简体"/>
                <w:color w:val="000000"/>
                <w:kern w:val="0"/>
                <w:sz w:val="40"/>
                <w:szCs w:val="40"/>
                <w:lang w:bidi="ar"/>
              </w:rPr>
              <w:t>专项预算项目绩效目标完成情况自评表</w:t>
            </w:r>
          </w:p>
        </w:tc>
      </w:tr>
      <w:tr w14:paraId="09379209">
        <w:tblPrEx>
          <w:tblCellMar>
            <w:top w:w="15" w:type="dxa"/>
            <w:left w:w="15" w:type="dxa"/>
            <w:bottom w:w="15" w:type="dxa"/>
            <w:right w:w="15" w:type="dxa"/>
          </w:tblCellMar>
        </w:tblPrEx>
        <w:trPr>
          <w:trHeight w:val="23" w:hRule="atLeast"/>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4A0D21F7">
            <w:pPr>
              <w:widowControl/>
              <w:spacing w:line="300" w:lineRule="exact"/>
              <w:jc w:val="left"/>
              <w:textAlignment w:val="center"/>
              <w:rPr>
                <w:rFonts w:ascii="宋体" w:hAnsi="宋体" w:eastAsia="宋体" w:cs="宋体"/>
                <w:color w:val="000000"/>
                <w:sz w:val="24"/>
                <w:szCs w:val="24"/>
              </w:rPr>
            </w:pPr>
            <w:r>
              <w:rPr>
                <w:rFonts w:ascii="宋体" w:hAnsi="宋体" w:eastAsia="宋体" w:cs="宋体"/>
                <w:color w:val="000000"/>
                <w:kern w:val="0"/>
                <w:sz w:val="24"/>
                <w:szCs w:val="24"/>
                <w:lang w:bidi="ar"/>
              </w:rPr>
              <w:t>项目名称</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305ED6CE">
            <w:pPr>
              <w:widowControl/>
              <w:spacing w:line="300" w:lineRule="exact"/>
              <w:jc w:val="left"/>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eastAsia="zh-CN" w:bidi="ar"/>
              </w:rPr>
              <w:t>城市维护费</w:t>
            </w:r>
            <w:r>
              <w:rPr>
                <w:rFonts w:hint="eastAsia" w:ascii="宋体" w:hAnsi="宋体" w:eastAsia="宋体" w:cs="宋体"/>
                <w:color w:val="000000"/>
                <w:kern w:val="0"/>
                <w:sz w:val="24"/>
                <w:szCs w:val="24"/>
                <w:lang w:bidi="ar"/>
              </w:rPr>
              <w:t>项目</w:t>
            </w:r>
          </w:p>
        </w:tc>
      </w:tr>
      <w:tr w14:paraId="42BC490C">
        <w:tblPrEx>
          <w:tblCellMar>
            <w:top w:w="15" w:type="dxa"/>
            <w:left w:w="15" w:type="dxa"/>
            <w:bottom w:w="15" w:type="dxa"/>
            <w:right w:w="15" w:type="dxa"/>
          </w:tblCellMar>
        </w:tblPrEx>
        <w:trPr>
          <w:trHeight w:val="23" w:hRule="atLeast"/>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5B3B20B0">
            <w:pPr>
              <w:widowControl/>
              <w:spacing w:line="300" w:lineRule="exact"/>
              <w:jc w:val="left"/>
              <w:textAlignment w:val="center"/>
              <w:rPr>
                <w:rFonts w:ascii="宋体" w:hAnsi="宋体" w:eastAsia="宋体" w:cs="宋体"/>
                <w:color w:val="000000"/>
                <w:sz w:val="24"/>
                <w:szCs w:val="24"/>
              </w:rPr>
            </w:pPr>
            <w:r>
              <w:rPr>
                <w:rFonts w:ascii="宋体" w:hAnsi="宋体" w:eastAsia="宋体" w:cs="宋体"/>
                <w:color w:val="000000"/>
                <w:kern w:val="0"/>
                <w:sz w:val="24"/>
                <w:szCs w:val="24"/>
                <w:lang w:bidi="ar"/>
              </w:rPr>
              <w:t>预算单位</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325B2E05">
            <w:pPr>
              <w:widowControl/>
              <w:spacing w:line="300" w:lineRule="exact"/>
              <w:jc w:val="left"/>
              <w:textAlignment w:val="center"/>
              <w:rPr>
                <w:rFonts w:hint="eastAsia" w:ascii="宋体" w:hAnsi="宋体" w:eastAsia="宋体" w:cs="宋体"/>
                <w:color w:val="000000"/>
                <w:kern w:val="0"/>
                <w:sz w:val="24"/>
                <w:szCs w:val="24"/>
                <w:lang w:eastAsia="zh-CN" w:bidi="ar"/>
              </w:rPr>
            </w:pPr>
            <w:r>
              <w:rPr>
                <w:rFonts w:hint="eastAsia" w:ascii="宋体" w:hAnsi="宋体" w:eastAsia="宋体" w:cs="宋体"/>
                <w:color w:val="000000"/>
                <w:kern w:val="0"/>
                <w:sz w:val="24"/>
                <w:szCs w:val="24"/>
                <w:lang w:eastAsia="zh-CN" w:bidi="ar"/>
              </w:rPr>
              <w:t>黑水县市政公用服务中心</w:t>
            </w:r>
          </w:p>
        </w:tc>
      </w:tr>
      <w:tr w14:paraId="105C7520">
        <w:tblPrEx>
          <w:tblCellMar>
            <w:top w:w="15" w:type="dxa"/>
            <w:left w:w="15" w:type="dxa"/>
            <w:bottom w:w="15" w:type="dxa"/>
            <w:right w:w="15" w:type="dxa"/>
          </w:tblCellMar>
        </w:tblPrEx>
        <w:trPr>
          <w:trHeight w:val="23" w:hRule="atLeast"/>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15535D5A">
            <w:pPr>
              <w:widowControl/>
              <w:spacing w:line="300" w:lineRule="exact"/>
              <w:jc w:val="left"/>
              <w:textAlignment w:val="center"/>
              <w:rPr>
                <w:rFonts w:ascii="宋体" w:hAnsi="宋体" w:eastAsia="宋体" w:cs="宋体"/>
                <w:color w:val="000000"/>
                <w:sz w:val="24"/>
                <w:szCs w:val="24"/>
              </w:rPr>
            </w:pPr>
            <w:r>
              <w:rPr>
                <w:rFonts w:ascii="宋体" w:hAnsi="宋体" w:eastAsia="宋体" w:cs="宋体"/>
                <w:color w:val="000000"/>
                <w:kern w:val="0"/>
                <w:sz w:val="24"/>
                <w:szCs w:val="24"/>
                <w:lang w:bidi="ar"/>
              </w:rPr>
              <w:t>项目类型</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6A615F04">
            <w:pPr>
              <w:widowControl/>
              <w:spacing w:line="300" w:lineRule="exact"/>
              <w:jc w:val="left"/>
              <w:textAlignment w:val="center"/>
              <w:rPr>
                <w:rFonts w:hint="eastAsia" w:eastAsia="仿宋_GB2312"/>
                <w:szCs w:val="28"/>
                <w:lang w:eastAsia="zh-CN"/>
              </w:rPr>
            </w:pPr>
            <w:r>
              <w:rPr>
                <w:rFonts w:hint="eastAsia" w:ascii="宋体" w:hAnsi="宋体" w:eastAsia="宋体" w:cs="宋体"/>
                <w:color w:val="000000"/>
                <w:kern w:val="0"/>
                <w:sz w:val="24"/>
                <w:szCs w:val="24"/>
                <w:lang w:eastAsia="zh-CN" w:bidi="ar"/>
              </w:rPr>
              <w:t>经常性项目</w:t>
            </w:r>
          </w:p>
        </w:tc>
      </w:tr>
      <w:tr w14:paraId="5D4F587E">
        <w:tblPrEx>
          <w:tblCellMar>
            <w:top w:w="15" w:type="dxa"/>
            <w:left w:w="15" w:type="dxa"/>
            <w:bottom w:w="15" w:type="dxa"/>
            <w:right w:w="15" w:type="dxa"/>
          </w:tblCellMar>
        </w:tblPrEx>
        <w:trPr>
          <w:trHeight w:val="23" w:hRule="atLeast"/>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70CACA78">
            <w:pPr>
              <w:widowControl/>
              <w:spacing w:line="300" w:lineRule="exact"/>
              <w:jc w:val="center"/>
              <w:textAlignment w:val="center"/>
              <w:rPr>
                <w:rFonts w:ascii="宋体" w:hAnsi="宋体" w:eastAsia="宋体" w:cs="宋体"/>
                <w:color w:val="000000"/>
                <w:sz w:val="24"/>
                <w:szCs w:val="24"/>
              </w:rPr>
            </w:pPr>
            <w:r>
              <w:rPr>
                <w:rFonts w:ascii="宋体" w:hAnsi="宋体" w:eastAsia="宋体" w:cs="宋体"/>
                <w:color w:val="000000"/>
                <w:kern w:val="0"/>
                <w:sz w:val="24"/>
                <w:szCs w:val="24"/>
                <w:lang w:bidi="ar"/>
              </w:rPr>
              <w:t>项目 概况</w:t>
            </w: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6A4E4C28">
            <w:pPr>
              <w:widowControl/>
              <w:spacing w:line="300" w:lineRule="exact"/>
              <w:jc w:val="left"/>
              <w:textAlignment w:val="center"/>
              <w:rPr>
                <w:rFonts w:ascii="宋体" w:hAnsi="宋体" w:eastAsia="宋体" w:cs="宋体"/>
                <w:color w:val="000000"/>
                <w:kern w:val="0"/>
                <w:sz w:val="24"/>
                <w:szCs w:val="24"/>
                <w:lang w:bidi="ar"/>
              </w:rPr>
            </w:pPr>
            <w:r>
              <w:rPr>
                <w:rFonts w:ascii="宋体" w:hAnsi="宋体" w:eastAsia="宋体" w:cs="宋体"/>
                <w:color w:val="000000"/>
                <w:kern w:val="0"/>
                <w:sz w:val="24"/>
                <w:szCs w:val="24"/>
                <w:lang w:bidi="ar"/>
              </w:rPr>
              <w:t>中长期规划（名称、文号，仅指</w:t>
            </w:r>
          </w:p>
          <w:p w14:paraId="773CF703">
            <w:pPr>
              <w:widowControl/>
              <w:spacing w:line="300" w:lineRule="exact"/>
              <w:jc w:val="left"/>
              <w:textAlignment w:val="center"/>
              <w:rPr>
                <w:rFonts w:ascii="宋体" w:hAnsi="宋体" w:eastAsia="宋体" w:cs="宋体"/>
                <w:color w:val="000000"/>
                <w:sz w:val="24"/>
                <w:szCs w:val="24"/>
              </w:rPr>
            </w:pPr>
            <w:r>
              <w:rPr>
                <w:rFonts w:ascii="宋体" w:hAnsi="宋体" w:eastAsia="宋体" w:cs="宋体"/>
                <w:color w:val="000000"/>
                <w:kern w:val="0"/>
                <w:sz w:val="24"/>
                <w:szCs w:val="24"/>
                <w:lang w:bidi="ar"/>
              </w:rPr>
              <w:t>常年项目）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6BD645B0">
            <w:pPr>
              <w:spacing w:line="300" w:lineRule="exact"/>
              <w:jc w:val="left"/>
              <w:rPr>
                <w:rFonts w:hint="eastAsia" w:ascii="宋体" w:hAnsi="宋体" w:eastAsia="宋体" w:cs="宋体"/>
                <w:color w:val="000000"/>
                <w:sz w:val="24"/>
                <w:szCs w:val="24"/>
              </w:rPr>
            </w:pPr>
            <w:r>
              <w:rPr>
                <w:rFonts w:hint="eastAsia" w:ascii="宋体" w:hAnsi="宋体" w:eastAsia="宋体" w:cs="宋体"/>
                <w:color w:val="000000"/>
                <w:sz w:val="24"/>
                <w:szCs w:val="24"/>
              </w:rPr>
              <w:t>无</w:t>
            </w:r>
          </w:p>
        </w:tc>
      </w:tr>
      <w:tr w14:paraId="484DCA30">
        <w:tblPrEx>
          <w:tblCellMar>
            <w:top w:w="15" w:type="dxa"/>
            <w:left w:w="15" w:type="dxa"/>
            <w:bottom w:w="15" w:type="dxa"/>
            <w:right w:w="15" w:type="dxa"/>
          </w:tblCellMar>
        </w:tblPrEx>
        <w:trPr>
          <w:trHeight w:val="23" w:hRule="atLeast"/>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BFDC35">
            <w:pPr>
              <w:spacing w:line="300" w:lineRule="exact"/>
              <w:rPr>
                <w:rFonts w:hint="eastAsia" w:ascii="宋体" w:hAnsi="宋体" w:eastAsia="宋体" w:cs="宋体"/>
                <w:color w:val="000000"/>
                <w:sz w:val="24"/>
                <w:szCs w:val="24"/>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6ABDCF90">
            <w:pPr>
              <w:widowControl/>
              <w:spacing w:line="300" w:lineRule="exact"/>
              <w:jc w:val="left"/>
              <w:textAlignment w:val="center"/>
              <w:rPr>
                <w:rFonts w:ascii="宋体" w:hAnsi="宋体" w:eastAsia="宋体" w:cs="宋体"/>
                <w:color w:val="000000"/>
                <w:sz w:val="24"/>
                <w:szCs w:val="24"/>
              </w:rPr>
            </w:pPr>
            <w:r>
              <w:rPr>
                <w:rFonts w:ascii="宋体" w:hAnsi="宋体" w:eastAsia="宋体" w:cs="宋体"/>
                <w:color w:val="000000"/>
                <w:kern w:val="0"/>
                <w:sz w:val="24"/>
                <w:szCs w:val="24"/>
                <w:lang w:bidi="ar"/>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670D1DC9">
            <w:pPr>
              <w:spacing w:line="300" w:lineRule="exact"/>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无</w:t>
            </w:r>
          </w:p>
        </w:tc>
      </w:tr>
      <w:tr w14:paraId="6E72CA61">
        <w:tblPrEx>
          <w:tblCellMar>
            <w:top w:w="15" w:type="dxa"/>
            <w:left w:w="15" w:type="dxa"/>
            <w:bottom w:w="15" w:type="dxa"/>
            <w:right w:w="15" w:type="dxa"/>
          </w:tblCellMar>
        </w:tblPrEx>
        <w:trPr>
          <w:trHeight w:val="23" w:hRule="atLeast"/>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AA9429">
            <w:pPr>
              <w:spacing w:line="300" w:lineRule="exact"/>
              <w:rPr>
                <w:rFonts w:hint="eastAsia" w:ascii="宋体" w:hAnsi="宋体" w:eastAsia="宋体" w:cs="宋体"/>
                <w:color w:val="000000"/>
                <w:sz w:val="24"/>
                <w:szCs w:val="24"/>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6B03C0BC">
            <w:pPr>
              <w:widowControl/>
              <w:spacing w:line="300" w:lineRule="exact"/>
              <w:jc w:val="left"/>
              <w:textAlignment w:val="center"/>
              <w:rPr>
                <w:rFonts w:ascii="宋体" w:hAnsi="宋体" w:eastAsia="宋体" w:cs="宋体"/>
                <w:color w:val="000000"/>
                <w:sz w:val="24"/>
                <w:szCs w:val="24"/>
              </w:rPr>
            </w:pPr>
            <w:r>
              <w:rPr>
                <w:rFonts w:ascii="宋体" w:hAnsi="宋体" w:eastAsia="宋体" w:cs="宋体"/>
                <w:color w:val="000000"/>
                <w:kern w:val="0"/>
                <w:sz w:val="24"/>
                <w:szCs w:val="24"/>
                <w:lang w:bidi="ar"/>
              </w:rPr>
              <w:t>绩效分配方式</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7319067C">
            <w:pPr>
              <w:widowControl/>
              <w:spacing w:line="300" w:lineRule="exact"/>
              <w:jc w:val="left"/>
              <w:textAlignment w:val="center"/>
              <w:rPr>
                <w:rFonts w:ascii="Wingdings 2" w:hAnsi="Wingdings 2" w:eastAsia="Wingdings 2" w:cs="Wingdings 2"/>
                <w:color w:val="000000"/>
                <w:sz w:val="24"/>
                <w:szCs w:val="24"/>
              </w:rPr>
            </w:pPr>
            <w:r>
              <w:rPr>
                <w:rFonts w:ascii="Wingdings 2" w:hAnsi="Wingdings 2" w:eastAsia="Wingdings 2" w:cs="Wingdings 2"/>
                <w:color w:val="000000"/>
                <w:kern w:val="0"/>
                <w:sz w:val="24"/>
                <w:szCs w:val="24"/>
                <w:lang w:bidi="ar"/>
              </w:rPr>
              <w:t>£</w:t>
            </w:r>
            <w:r>
              <w:rPr>
                <w:rFonts w:ascii="宋体" w:hAnsi="宋体" w:eastAsia="宋体" w:cs="宋体"/>
                <w:color w:val="000000"/>
                <w:kern w:val="0"/>
                <w:sz w:val="24"/>
                <w:szCs w:val="24"/>
                <w:lang w:bidi="ar"/>
              </w:rPr>
              <w:t>因素法</w:t>
            </w:r>
          </w:p>
        </w:tc>
        <w:tc>
          <w:tcPr>
            <w:tcW w:w="2032" w:type="dxa"/>
            <w:gridSpan w:val="2"/>
            <w:tcBorders>
              <w:top w:val="single" w:color="000000" w:sz="4" w:space="0"/>
              <w:left w:val="single" w:color="000000" w:sz="4" w:space="0"/>
              <w:bottom w:val="single" w:color="000000" w:sz="4" w:space="0"/>
              <w:right w:val="single" w:color="000000" w:sz="4" w:space="0"/>
            </w:tcBorders>
            <w:noWrap w:val="0"/>
            <w:vAlign w:val="center"/>
          </w:tcPr>
          <w:p w14:paraId="1B5ED457">
            <w:pPr>
              <w:widowControl/>
              <w:spacing w:line="300" w:lineRule="exact"/>
              <w:jc w:val="center"/>
              <w:textAlignment w:val="center"/>
              <w:rPr>
                <w:rFonts w:ascii="Wingdings 2" w:hAnsi="Wingdings 2" w:eastAsia="Wingdings 2" w:cs="Wingdings 2"/>
                <w:color w:val="000000"/>
                <w:sz w:val="24"/>
                <w:szCs w:val="24"/>
              </w:rPr>
            </w:pPr>
            <w:r>
              <w:rPr>
                <w:rFonts w:ascii="Wingdings 2" w:hAnsi="Wingdings 2" w:eastAsia="Wingdings 2" w:cs="Wingdings 2"/>
                <w:color w:val="000000"/>
                <w:kern w:val="0"/>
                <w:sz w:val="24"/>
                <w:szCs w:val="24"/>
                <w:lang w:bidi="ar"/>
              </w:rPr>
              <w:t>£项目法</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49FC043E">
            <w:pPr>
              <w:widowControl/>
              <w:spacing w:line="300" w:lineRule="exact"/>
              <w:jc w:val="center"/>
              <w:textAlignment w:val="center"/>
              <w:rPr>
                <w:rFonts w:ascii="Wingdings 2" w:hAnsi="Wingdings 2" w:eastAsia="Wingdings 2" w:cs="Wingdings 2"/>
                <w:color w:val="000000"/>
                <w:sz w:val="24"/>
                <w:szCs w:val="24"/>
              </w:rPr>
            </w:pPr>
            <w:r>
              <w:rPr>
                <w:rFonts w:ascii="Wingdings 2" w:hAnsi="Wingdings 2" w:eastAsia="Wingdings 2" w:cs="Wingdings 2"/>
                <w:color w:val="000000"/>
                <w:kern w:val="0"/>
                <w:sz w:val="24"/>
                <w:szCs w:val="24"/>
                <w:lang w:bidi="ar"/>
              </w:rPr>
              <w:t>£</w:t>
            </w:r>
            <w:r>
              <w:rPr>
                <w:rFonts w:ascii="宋体" w:hAnsi="宋体" w:eastAsia="宋体" w:cs="宋体"/>
                <w:color w:val="000000"/>
                <w:kern w:val="0"/>
                <w:sz w:val="24"/>
                <w:szCs w:val="24"/>
                <w:lang w:bidi="ar"/>
              </w:rPr>
              <w:t>据实据效</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2D9631CB">
            <w:pPr>
              <w:widowControl/>
              <w:spacing w:line="300" w:lineRule="exact"/>
              <w:jc w:val="center"/>
              <w:textAlignment w:val="center"/>
              <w:rPr>
                <w:rFonts w:ascii="Wingdings 2" w:hAnsi="Wingdings 2" w:eastAsia="Wingdings 2" w:cs="Wingdings 2"/>
                <w:color w:val="000000"/>
                <w:sz w:val="24"/>
                <w:szCs w:val="24"/>
              </w:rPr>
            </w:pPr>
            <w:r>
              <w:rPr>
                <w:rFonts w:hint="default" w:ascii="Arial" w:hAnsi="Arial" w:eastAsia="宋体" w:cs="Arial"/>
                <w:color w:val="000000"/>
                <w:kern w:val="0"/>
                <w:sz w:val="24"/>
                <w:szCs w:val="24"/>
                <w:lang w:bidi="ar"/>
              </w:rPr>
              <w:t>√</w:t>
            </w:r>
            <w:r>
              <w:rPr>
                <w:rFonts w:ascii="宋体" w:hAnsi="宋体" w:eastAsia="宋体" w:cs="宋体"/>
                <w:color w:val="000000"/>
                <w:kern w:val="0"/>
                <w:sz w:val="24"/>
                <w:szCs w:val="24"/>
                <w:lang w:bidi="ar"/>
              </w:rPr>
              <w:t>因素法与项目法相结合</w:t>
            </w:r>
          </w:p>
        </w:tc>
      </w:tr>
      <w:tr w14:paraId="3DB16F13">
        <w:tblPrEx>
          <w:tblCellMar>
            <w:top w:w="15" w:type="dxa"/>
            <w:left w:w="15" w:type="dxa"/>
            <w:bottom w:w="15" w:type="dxa"/>
            <w:right w:w="15" w:type="dxa"/>
          </w:tblCellMar>
        </w:tblPrEx>
        <w:trPr>
          <w:trHeight w:val="23" w:hRule="atLeast"/>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B39AD4">
            <w:pPr>
              <w:spacing w:line="300" w:lineRule="exact"/>
              <w:rPr>
                <w:rFonts w:hint="eastAsia" w:ascii="宋体" w:hAnsi="宋体" w:eastAsia="宋体" w:cs="宋体"/>
                <w:color w:val="000000"/>
                <w:sz w:val="24"/>
                <w:szCs w:val="24"/>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5AAD5A50">
            <w:pPr>
              <w:widowControl/>
              <w:spacing w:line="300" w:lineRule="exact"/>
              <w:jc w:val="left"/>
              <w:textAlignment w:val="center"/>
              <w:rPr>
                <w:rFonts w:ascii="宋体" w:hAnsi="宋体" w:eastAsia="宋体" w:cs="宋体"/>
                <w:color w:val="000000"/>
                <w:sz w:val="24"/>
                <w:szCs w:val="24"/>
              </w:rPr>
            </w:pPr>
            <w:r>
              <w:rPr>
                <w:rFonts w:ascii="宋体" w:hAnsi="宋体" w:eastAsia="宋体" w:cs="宋体"/>
                <w:color w:val="000000"/>
                <w:kern w:val="0"/>
                <w:sz w:val="24"/>
                <w:szCs w:val="24"/>
                <w:lang w:bidi="ar"/>
              </w:rPr>
              <w:t>立项依据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1F567952">
            <w:pPr>
              <w:widowControl/>
              <w:spacing w:line="300" w:lineRule="exact"/>
              <w:jc w:val="left"/>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随着城镇化建设的不断推进，城市基础设施的维护和建设变得越来越重要。市政设施作为城市基础设施的核心，不仅为居民提供正常的生活保障，还代表着城市的精神面貌与发展水平，对城市的经济发展起到基础作用。因此，设立城市维护费项目是为了满足城镇化建设过程中对市政设施维护和建设的需求。</w:t>
            </w:r>
          </w:p>
        </w:tc>
      </w:tr>
      <w:tr w14:paraId="0B466F88">
        <w:tblPrEx>
          <w:tblCellMar>
            <w:top w:w="15" w:type="dxa"/>
            <w:left w:w="15" w:type="dxa"/>
            <w:bottom w:w="15" w:type="dxa"/>
            <w:right w:w="15" w:type="dxa"/>
          </w:tblCellMar>
        </w:tblPrEx>
        <w:trPr>
          <w:trHeight w:val="23" w:hRule="atLeast"/>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107546">
            <w:pPr>
              <w:spacing w:line="300" w:lineRule="exact"/>
              <w:rPr>
                <w:rFonts w:hint="eastAsia" w:ascii="宋体" w:hAnsi="宋体" w:eastAsia="宋体" w:cs="宋体"/>
                <w:color w:val="000000"/>
                <w:sz w:val="24"/>
                <w:szCs w:val="24"/>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3D4F3415">
            <w:pPr>
              <w:widowControl/>
              <w:spacing w:line="300" w:lineRule="exact"/>
              <w:jc w:val="left"/>
              <w:textAlignment w:val="center"/>
              <w:rPr>
                <w:rFonts w:ascii="宋体" w:hAnsi="宋体" w:eastAsia="宋体" w:cs="宋体"/>
                <w:color w:val="000000"/>
                <w:sz w:val="24"/>
                <w:szCs w:val="24"/>
              </w:rPr>
            </w:pPr>
            <w:r>
              <w:rPr>
                <w:rFonts w:ascii="宋体" w:hAnsi="宋体" w:eastAsia="宋体" w:cs="宋体"/>
                <w:color w:val="000000"/>
                <w:kern w:val="0"/>
                <w:sz w:val="24"/>
                <w:szCs w:val="24"/>
                <w:lang w:bidi="ar"/>
              </w:rPr>
              <w:t>使用范围</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054411A1">
            <w:pPr>
              <w:widowControl/>
              <w:spacing w:line="300" w:lineRule="exact"/>
              <w:jc w:val="left"/>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val="en-US" w:eastAsia="zh-CN" w:bidi="ar"/>
              </w:rPr>
              <w:t>该项目资金主要用于城市管理工作的所有开支。</w:t>
            </w:r>
          </w:p>
        </w:tc>
      </w:tr>
      <w:tr w14:paraId="337A9B95">
        <w:tblPrEx>
          <w:tblCellMar>
            <w:top w:w="15" w:type="dxa"/>
            <w:left w:w="15" w:type="dxa"/>
            <w:bottom w:w="15" w:type="dxa"/>
            <w:right w:w="15" w:type="dxa"/>
          </w:tblCellMar>
        </w:tblPrEx>
        <w:trPr>
          <w:trHeight w:val="23" w:hRule="atLeast"/>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06B735">
            <w:pPr>
              <w:spacing w:line="300" w:lineRule="exact"/>
              <w:rPr>
                <w:rFonts w:hint="eastAsia" w:ascii="宋体" w:hAnsi="宋体" w:eastAsia="宋体" w:cs="宋体"/>
                <w:color w:val="000000"/>
                <w:sz w:val="24"/>
                <w:szCs w:val="24"/>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645A6014">
            <w:pPr>
              <w:widowControl/>
              <w:spacing w:line="300" w:lineRule="exact"/>
              <w:jc w:val="left"/>
              <w:textAlignment w:val="center"/>
              <w:rPr>
                <w:rFonts w:ascii="宋体" w:hAnsi="宋体" w:eastAsia="宋体" w:cs="宋体"/>
                <w:color w:val="000000"/>
                <w:sz w:val="24"/>
                <w:szCs w:val="24"/>
              </w:rPr>
            </w:pPr>
            <w:r>
              <w:rPr>
                <w:rFonts w:ascii="宋体" w:hAnsi="宋体" w:eastAsia="宋体" w:cs="宋体"/>
                <w:color w:val="000000"/>
                <w:kern w:val="0"/>
                <w:sz w:val="24"/>
                <w:szCs w:val="24"/>
                <w:lang w:bidi="ar"/>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42700352">
            <w:pPr>
              <w:spacing w:line="300" w:lineRule="exact"/>
              <w:jc w:val="left"/>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无。</w:t>
            </w:r>
          </w:p>
        </w:tc>
      </w:tr>
      <w:tr w14:paraId="10570185">
        <w:tblPrEx>
          <w:tblCellMar>
            <w:top w:w="15" w:type="dxa"/>
            <w:left w:w="15" w:type="dxa"/>
            <w:bottom w:w="15" w:type="dxa"/>
            <w:right w:w="15" w:type="dxa"/>
          </w:tblCellMar>
        </w:tblPrEx>
        <w:trPr>
          <w:trHeight w:val="23" w:hRule="atLeast"/>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62E6A8">
            <w:pPr>
              <w:spacing w:line="300" w:lineRule="exact"/>
              <w:rPr>
                <w:rFonts w:hint="eastAsia" w:ascii="宋体" w:hAnsi="宋体" w:eastAsia="宋体" w:cs="宋体"/>
                <w:color w:val="000000"/>
                <w:sz w:val="24"/>
                <w:szCs w:val="24"/>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2B2D6B70">
            <w:pPr>
              <w:widowControl/>
              <w:spacing w:line="300" w:lineRule="exact"/>
              <w:jc w:val="left"/>
              <w:textAlignment w:val="center"/>
              <w:rPr>
                <w:rFonts w:ascii="宋体" w:hAnsi="宋体" w:eastAsia="宋体" w:cs="宋体"/>
                <w:color w:val="000000"/>
                <w:sz w:val="24"/>
                <w:szCs w:val="24"/>
              </w:rPr>
            </w:pPr>
            <w:r>
              <w:rPr>
                <w:rFonts w:ascii="宋体" w:hAnsi="宋体" w:eastAsia="宋体" w:cs="宋体"/>
                <w:color w:val="000000"/>
                <w:kern w:val="0"/>
                <w:sz w:val="24"/>
                <w:szCs w:val="24"/>
                <w:lang w:bidi="ar"/>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32F0596F">
            <w:pPr>
              <w:widowControl/>
              <w:spacing w:line="300" w:lineRule="exact"/>
              <w:jc w:val="left"/>
              <w:textAlignment w:val="center"/>
              <w:rPr>
                <w:rFonts w:hint="eastAsia" w:ascii="宋体" w:hAnsi="宋体" w:eastAsia="宋体" w:cs="宋体"/>
                <w:color w:val="000000"/>
                <w:kern w:val="0"/>
                <w:sz w:val="24"/>
                <w:szCs w:val="24"/>
                <w:lang w:bidi="ar"/>
              </w:rPr>
            </w:pPr>
            <w:r>
              <w:rPr>
                <w:rFonts w:hint="eastAsia" w:eastAsia="宋体"/>
                <w:color w:val="000000"/>
                <w:kern w:val="0"/>
                <w:sz w:val="24"/>
                <w:szCs w:val="24"/>
                <w:lang w:bidi="ar"/>
              </w:rPr>
              <w:t>202</w:t>
            </w:r>
            <w:r>
              <w:rPr>
                <w:rFonts w:hint="eastAsia" w:eastAsia="宋体"/>
                <w:color w:val="000000"/>
                <w:kern w:val="0"/>
                <w:sz w:val="24"/>
                <w:szCs w:val="24"/>
                <w:lang w:val="en-US" w:eastAsia="zh-CN" w:bidi="ar"/>
              </w:rPr>
              <w:t>4</w:t>
            </w:r>
            <w:r>
              <w:rPr>
                <w:rFonts w:hint="eastAsia" w:eastAsia="宋体"/>
                <w:color w:val="000000"/>
                <w:kern w:val="0"/>
                <w:sz w:val="24"/>
                <w:szCs w:val="24"/>
                <w:lang w:bidi="ar"/>
              </w:rPr>
              <w:t>年</w:t>
            </w:r>
            <w:r>
              <w:rPr>
                <w:rFonts w:hint="eastAsia" w:eastAsia="宋体"/>
                <w:color w:val="000000"/>
                <w:kern w:val="0"/>
                <w:sz w:val="24"/>
                <w:szCs w:val="24"/>
                <w:lang w:val="en-US" w:eastAsia="zh-CN" w:bidi="ar"/>
              </w:rPr>
              <w:t>1</w:t>
            </w:r>
            <w:r>
              <w:rPr>
                <w:rFonts w:hint="eastAsia" w:eastAsia="宋体"/>
                <w:color w:val="000000"/>
                <w:kern w:val="0"/>
                <w:sz w:val="24"/>
                <w:szCs w:val="24"/>
                <w:lang w:bidi="ar"/>
              </w:rPr>
              <w:t>月至</w:t>
            </w:r>
            <w:r>
              <w:rPr>
                <w:rFonts w:eastAsia="宋体"/>
                <w:color w:val="000000"/>
                <w:kern w:val="0"/>
                <w:sz w:val="24"/>
                <w:szCs w:val="24"/>
                <w:lang w:bidi="ar"/>
              </w:rPr>
              <w:t>202</w:t>
            </w:r>
            <w:r>
              <w:rPr>
                <w:rFonts w:hint="eastAsia" w:eastAsia="宋体"/>
                <w:color w:val="000000"/>
                <w:kern w:val="0"/>
                <w:sz w:val="24"/>
                <w:szCs w:val="24"/>
                <w:lang w:val="en-US" w:eastAsia="zh-CN" w:bidi="ar"/>
              </w:rPr>
              <w:t>4</w:t>
            </w:r>
            <w:r>
              <w:rPr>
                <w:rFonts w:hint="eastAsia" w:eastAsia="宋体"/>
                <w:color w:val="000000"/>
                <w:kern w:val="0"/>
                <w:sz w:val="24"/>
                <w:szCs w:val="24"/>
                <w:lang w:bidi="ar"/>
              </w:rPr>
              <w:t>年1</w:t>
            </w:r>
            <w:r>
              <w:rPr>
                <w:rFonts w:hint="eastAsia" w:eastAsia="宋体"/>
                <w:color w:val="000000"/>
                <w:kern w:val="0"/>
                <w:sz w:val="24"/>
                <w:szCs w:val="24"/>
                <w:lang w:val="en-US" w:eastAsia="zh-CN" w:bidi="ar"/>
              </w:rPr>
              <w:t>2</w:t>
            </w:r>
            <w:r>
              <w:rPr>
                <w:rFonts w:hint="eastAsia" w:eastAsia="宋体"/>
                <w:color w:val="000000"/>
                <w:kern w:val="0"/>
                <w:sz w:val="24"/>
                <w:szCs w:val="24"/>
                <w:lang w:bidi="ar"/>
              </w:rPr>
              <w:t>月</w:t>
            </w:r>
          </w:p>
        </w:tc>
      </w:tr>
      <w:tr w14:paraId="255921CF">
        <w:tblPrEx>
          <w:tblCellMar>
            <w:top w:w="15" w:type="dxa"/>
            <w:left w:w="15" w:type="dxa"/>
            <w:bottom w:w="15" w:type="dxa"/>
            <w:right w:w="15" w:type="dxa"/>
          </w:tblCellMar>
        </w:tblPrEx>
        <w:trPr>
          <w:trHeight w:val="23" w:hRule="atLeast"/>
        </w:trPr>
        <w:tc>
          <w:tcPr>
            <w:tcW w:w="173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B06F363">
            <w:pPr>
              <w:widowControl/>
              <w:spacing w:line="300" w:lineRule="exact"/>
              <w:jc w:val="center"/>
              <w:textAlignment w:val="center"/>
              <w:rPr>
                <w:rFonts w:ascii="宋体" w:hAnsi="宋体" w:eastAsia="宋体" w:cs="宋体"/>
                <w:color w:val="000000"/>
                <w:kern w:val="0"/>
                <w:sz w:val="24"/>
                <w:szCs w:val="24"/>
                <w:lang w:bidi="ar"/>
              </w:rPr>
            </w:pPr>
            <w:r>
              <w:rPr>
                <w:rFonts w:ascii="宋体" w:hAnsi="宋体" w:eastAsia="宋体" w:cs="宋体"/>
                <w:color w:val="000000"/>
                <w:kern w:val="0"/>
                <w:sz w:val="24"/>
                <w:szCs w:val="24"/>
                <w:lang w:bidi="ar"/>
              </w:rPr>
              <w:t>项目资金</w:t>
            </w:r>
          </w:p>
          <w:p w14:paraId="7201FC3B">
            <w:pPr>
              <w:widowControl/>
              <w:spacing w:line="300" w:lineRule="exact"/>
              <w:jc w:val="center"/>
              <w:textAlignment w:val="center"/>
              <w:rPr>
                <w:rFonts w:ascii="宋体" w:hAnsi="宋体" w:eastAsia="宋体" w:cs="宋体"/>
                <w:color w:val="000000"/>
                <w:sz w:val="24"/>
                <w:szCs w:val="24"/>
              </w:rPr>
            </w:pPr>
            <w:r>
              <w:rPr>
                <w:rFonts w:ascii="宋体" w:hAnsi="宋体" w:eastAsia="宋体" w:cs="宋体"/>
                <w:color w:val="000000"/>
                <w:kern w:val="0"/>
                <w:sz w:val="24"/>
                <w:szCs w:val="24"/>
                <w:lang w:bidi="ar"/>
              </w:rPr>
              <w:t>（万元）</w:t>
            </w: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24A7A8DB">
            <w:pPr>
              <w:widowControl/>
              <w:spacing w:line="300" w:lineRule="exact"/>
              <w:jc w:val="left"/>
              <w:textAlignment w:val="center"/>
              <w:rPr>
                <w:rFonts w:ascii="宋体" w:hAnsi="宋体" w:eastAsia="宋体" w:cs="宋体"/>
                <w:color w:val="000000"/>
                <w:sz w:val="24"/>
                <w:szCs w:val="24"/>
              </w:rPr>
            </w:pPr>
            <w:r>
              <w:rPr>
                <w:rFonts w:ascii="宋体" w:hAnsi="宋体" w:eastAsia="宋体" w:cs="宋体"/>
                <w:color w:val="000000"/>
                <w:kern w:val="0"/>
                <w:sz w:val="24"/>
                <w:szCs w:val="24"/>
                <w:lang w:bidi="ar"/>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7758CA98">
            <w:pPr>
              <w:widowControl/>
              <w:spacing w:line="300" w:lineRule="exact"/>
              <w:jc w:val="left"/>
              <w:textAlignment w:val="center"/>
              <w:rPr>
                <w:rFonts w:hint="default" w:ascii="Times New Roman" w:hAnsi="Times New Roman" w:eastAsia="宋体" w:cs="Times New Roman"/>
                <w:color w:val="000000"/>
                <w:kern w:val="0"/>
                <w:sz w:val="24"/>
                <w:szCs w:val="24"/>
                <w:lang w:val="en-US" w:bidi="ar"/>
              </w:rPr>
            </w:pPr>
            <w:r>
              <w:rPr>
                <w:rFonts w:hint="eastAsia" w:ascii="Times New Roman" w:hAnsi="Times New Roman" w:eastAsia="宋体" w:cs="Times New Roman"/>
                <w:color w:val="000000"/>
                <w:kern w:val="0"/>
                <w:sz w:val="24"/>
                <w:szCs w:val="24"/>
                <w:lang w:val="en-US" w:eastAsia="zh-CN" w:bidi="ar"/>
              </w:rPr>
              <w:t>125</w:t>
            </w:r>
          </w:p>
        </w:tc>
      </w:tr>
      <w:tr w14:paraId="1F0A0625">
        <w:tblPrEx>
          <w:tblCellMar>
            <w:top w:w="15" w:type="dxa"/>
            <w:left w:w="15" w:type="dxa"/>
            <w:bottom w:w="15" w:type="dxa"/>
            <w:right w:w="15" w:type="dxa"/>
          </w:tblCellMar>
        </w:tblPrEx>
        <w:trPr>
          <w:trHeight w:val="23" w:hRule="atLeast"/>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9C14DCD">
            <w:pPr>
              <w:spacing w:line="300" w:lineRule="exact"/>
              <w:rPr>
                <w:rFonts w:hint="eastAsia" w:ascii="宋体" w:hAnsi="宋体" w:eastAsia="宋体" w:cs="宋体"/>
                <w:color w:val="000000"/>
                <w:sz w:val="24"/>
                <w:szCs w:val="24"/>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4CCC4180">
            <w:pPr>
              <w:widowControl/>
              <w:spacing w:line="300" w:lineRule="exact"/>
              <w:jc w:val="left"/>
              <w:textAlignment w:val="center"/>
              <w:rPr>
                <w:rFonts w:ascii="宋体" w:hAnsi="宋体" w:eastAsia="宋体" w:cs="宋体"/>
                <w:color w:val="000000"/>
                <w:sz w:val="24"/>
                <w:szCs w:val="24"/>
              </w:rPr>
            </w:pPr>
            <w:r>
              <w:rPr>
                <w:rFonts w:ascii="宋体" w:hAnsi="宋体" w:eastAsia="宋体" w:cs="宋体"/>
                <w:color w:val="000000"/>
                <w:kern w:val="0"/>
                <w:sz w:val="24"/>
                <w:szCs w:val="24"/>
                <w:lang w:bidi="ar"/>
              </w:rPr>
              <w:t xml:space="preserve">     </w:t>
            </w:r>
            <w:r>
              <w:rPr>
                <w:rFonts w:hint="eastAsia" w:ascii="宋体" w:hAnsi="宋体" w:eastAsia="宋体" w:cs="宋体"/>
                <w:color w:val="000000"/>
                <w:kern w:val="0"/>
                <w:sz w:val="24"/>
                <w:szCs w:val="24"/>
                <w:lang w:bidi="ar"/>
              </w:rPr>
              <w:t xml:space="preserve"> </w:t>
            </w:r>
            <w:r>
              <w:rPr>
                <w:rFonts w:ascii="宋体" w:hAnsi="宋体" w:eastAsia="宋体" w:cs="宋体"/>
                <w:color w:val="000000"/>
                <w:kern w:val="0"/>
                <w:sz w:val="24"/>
                <w:szCs w:val="24"/>
                <w:lang w:bidi="ar"/>
              </w:rPr>
              <w:t>其中：财政拨款</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53BAF5D0">
            <w:pPr>
              <w:widowControl/>
              <w:spacing w:line="300" w:lineRule="exact"/>
              <w:jc w:val="left"/>
              <w:textAlignment w:val="center"/>
              <w:rPr>
                <w:rFonts w:hint="default" w:ascii="Times New Roman" w:hAnsi="Times New Roman" w:eastAsia="宋体" w:cs="Times New Roman"/>
                <w:color w:val="000000"/>
                <w:kern w:val="0"/>
                <w:sz w:val="24"/>
                <w:szCs w:val="24"/>
                <w:lang w:val="en-US" w:eastAsia="zh-CN" w:bidi="ar"/>
              </w:rPr>
            </w:pPr>
            <w:r>
              <w:rPr>
                <w:rFonts w:hint="eastAsia" w:ascii="Times New Roman" w:hAnsi="Times New Roman" w:eastAsia="宋体" w:cs="Times New Roman"/>
                <w:color w:val="000000"/>
                <w:kern w:val="0"/>
                <w:sz w:val="24"/>
                <w:szCs w:val="24"/>
                <w:lang w:val="en-US" w:eastAsia="zh-CN" w:bidi="ar"/>
              </w:rPr>
              <w:t>125</w:t>
            </w:r>
          </w:p>
        </w:tc>
      </w:tr>
      <w:tr w14:paraId="3956C47E">
        <w:tblPrEx>
          <w:tblCellMar>
            <w:top w:w="15" w:type="dxa"/>
            <w:left w:w="15" w:type="dxa"/>
            <w:bottom w:w="15" w:type="dxa"/>
            <w:right w:w="15" w:type="dxa"/>
          </w:tblCellMar>
        </w:tblPrEx>
        <w:trPr>
          <w:trHeight w:val="23" w:hRule="atLeast"/>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E2378CE">
            <w:pPr>
              <w:spacing w:line="300" w:lineRule="exact"/>
              <w:rPr>
                <w:rFonts w:hint="eastAsia" w:ascii="宋体" w:hAnsi="宋体" w:eastAsia="宋体" w:cs="宋体"/>
                <w:color w:val="000000"/>
                <w:sz w:val="24"/>
                <w:szCs w:val="24"/>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710D8488">
            <w:pPr>
              <w:widowControl/>
              <w:spacing w:line="300" w:lineRule="exact"/>
              <w:jc w:val="left"/>
              <w:textAlignment w:val="center"/>
              <w:rPr>
                <w:rFonts w:ascii="宋体" w:hAnsi="宋体" w:eastAsia="宋体" w:cs="宋体"/>
                <w:color w:val="000000"/>
                <w:sz w:val="24"/>
                <w:szCs w:val="24"/>
              </w:rPr>
            </w:pPr>
            <w:r>
              <w:rPr>
                <w:rFonts w:ascii="宋体" w:hAnsi="宋体" w:eastAsia="宋体" w:cs="宋体"/>
                <w:color w:val="000000"/>
                <w:kern w:val="0"/>
                <w:sz w:val="24"/>
                <w:szCs w:val="24"/>
                <w:lang w:bidi="ar"/>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6180929C">
            <w:pPr>
              <w:widowControl/>
              <w:spacing w:line="300" w:lineRule="exact"/>
              <w:jc w:val="left"/>
              <w:textAlignment w:val="center"/>
              <w:rPr>
                <w:rFonts w:hint="eastAsia" w:ascii="Times New Roman" w:hAnsi="Times New Roman" w:eastAsia="宋体" w:cs="Times New Roman"/>
                <w:color w:val="000000"/>
                <w:kern w:val="0"/>
                <w:sz w:val="24"/>
                <w:szCs w:val="24"/>
                <w:lang w:bidi="ar"/>
              </w:rPr>
            </w:pPr>
            <w:r>
              <w:rPr>
                <w:rFonts w:hint="eastAsia" w:ascii="Times New Roman" w:hAnsi="Times New Roman" w:eastAsia="宋体" w:cs="Times New Roman"/>
                <w:color w:val="000000"/>
                <w:kern w:val="0"/>
                <w:sz w:val="24"/>
                <w:szCs w:val="24"/>
                <w:lang w:bidi="ar"/>
              </w:rPr>
              <w:t>0</w:t>
            </w:r>
          </w:p>
        </w:tc>
      </w:tr>
      <w:tr w14:paraId="333AC1DF">
        <w:tblPrEx>
          <w:tblCellMar>
            <w:top w:w="15" w:type="dxa"/>
            <w:left w:w="15" w:type="dxa"/>
            <w:bottom w:w="15" w:type="dxa"/>
            <w:right w:w="15" w:type="dxa"/>
          </w:tblCellMar>
        </w:tblPrEx>
        <w:trPr>
          <w:trHeight w:val="23" w:hRule="atLeast"/>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028A8394">
            <w:pPr>
              <w:widowControl/>
              <w:spacing w:line="300" w:lineRule="exact"/>
              <w:jc w:val="center"/>
              <w:textAlignment w:val="center"/>
              <w:rPr>
                <w:rFonts w:ascii="宋体" w:hAnsi="宋体" w:eastAsia="宋体" w:cs="宋体"/>
                <w:color w:val="000000"/>
                <w:sz w:val="24"/>
                <w:szCs w:val="24"/>
              </w:rPr>
            </w:pPr>
            <w:r>
              <w:rPr>
                <w:rFonts w:ascii="宋体" w:hAnsi="宋体" w:eastAsia="宋体" w:cs="宋体"/>
                <w:color w:val="000000"/>
                <w:kern w:val="0"/>
                <w:sz w:val="24"/>
                <w:szCs w:val="24"/>
                <w:lang w:bidi="ar"/>
              </w:rPr>
              <w:t>总体 目标</w:t>
            </w: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14:paraId="24F238BA">
            <w:pPr>
              <w:widowControl/>
              <w:spacing w:line="300" w:lineRule="exact"/>
              <w:jc w:val="center"/>
              <w:textAlignment w:val="center"/>
              <w:rPr>
                <w:rFonts w:ascii="宋体" w:hAnsi="宋体" w:eastAsia="宋体" w:cs="宋体"/>
                <w:color w:val="000000"/>
                <w:sz w:val="24"/>
                <w:szCs w:val="24"/>
              </w:rPr>
            </w:pPr>
            <w:r>
              <w:rPr>
                <w:rFonts w:ascii="宋体" w:hAnsi="宋体" w:eastAsia="宋体" w:cs="宋体"/>
                <w:color w:val="000000"/>
                <w:kern w:val="0"/>
                <w:sz w:val="24"/>
                <w:szCs w:val="24"/>
                <w:lang w:bidi="ar"/>
              </w:rPr>
              <w:t>年度目标</w:t>
            </w:r>
          </w:p>
        </w:tc>
      </w:tr>
      <w:tr w14:paraId="6F740064">
        <w:tblPrEx>
          <w:tblCellMar>
            <w:top w:w="15" w:type="dxa"/>
            <w:left w:w="15" w:type="dxa"/>
            <w:bottom w:w="15" w:type="dxa"/>
            <w:right w:w="15" w:type="dxa"/>
          </w:tblCellMar>
        </w:tblPrEx>
        <w:trPr>
          <w:trHeight w:val="23" w:hRule="atLeast"/>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813F16">
            <w:pPr>
              <w:spacing w:line="300" w:lineRule="exact"/>
              <w:rPr>
                <w:rFonts w:hint="eastAsia" w:ascii="宋体" w:hAnsi="宋体" w:eastAsia="宋体" w:cs="宋体"/>
                <w:color w:val="000000"/>
                <w:sz w:val="24"/>
                <w:szCs w:val="24"/>
              </w:rPr>
            </w:pP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14:paraId="7E551D40">
            <w:pPr>
              <w:widowControl/>
              <w:spacing w:line="300" w:lineRule="exact"/>
              <w:jc w:val="left"/>
              <w:textAlignment w:val="center"/>
              <w:rPr>
                <w:rFonts w:hint="eastAsia" w:eastAsia="宋体"/>
                <w:color w:val="000000"/>
                <w:kern w:val="0"/>
                <w:sz w:val="24"/>
                <w:szCs w:val="24"/>
                <w:lang w:bidi="ar"/>
              </w:rPr>
            </w:pPr>
            <w:r>
              <w:rPr>
                <w:rFonts w:hint="eastAsia" w:ascii="宋体" w:hAnsi="宋体" w:eastAsia="宋体" w:cs="宋体"/>
                <w:color w:val="000000"/>
                <w:kern w:val="0"/>
                <w:sz w:val="24"/>
                <w:szCs w:val="24"/>
                <w:lang w:val="en-US" w:eastAsia="zh-CN" w:bidi="ar"/>
              </w:rPr>
              <w:t>城市维护费用于日常城市管理工作，城区范围内的环境卫生，生活垃圾等废弃物的收集、清运、城区环境卫生设施的保洁，城区街道、广场、公共场所等环境的清扫保洁时产生的劳务费、环卫用品费、环卫车辆燃油及维修费。对城区范围内的道路、桥梁、广场、路灯等市政设施实行统一维护和管理产生的市政维修维护费、劳务费。</w:t>
            </w:r>
          </w:p>
        </w:tc>
      </w:tr>
      <w:tr w14:paraId="42B4DD38">
        <w:tblPrEx>
          <w:tblCellMar>
            <w:top w:w="15" w:type="dxa"/>
            <w:left w:w="15" w:type="dxa"/>
            <w:bottom w:w="15" w:type="dxa"/>
            <w:right w:w="15" w:type="dxa"/>
          </w:tblCellMar>
        </w:tblPrEx>
        <w:trPr>
          <w:trHeight w:val="23" w:hRule="atLeast"/>
        </w:trPr>
        <w:tc>
          <w:tcPr>
            <w:tcW w:w="652" w:type="dxa"/>
            <w:vMerge w:val="restart"/>
            <w:tcBorders>
              <w:top w:val="single" w:color="000000" w:sz="4" w:space="0"/>
              <w:left w:val="single" w:color="000000" w:sz="4" w:space="0"/>
              <w:bottom w:val="single" w:color="000000" w:sz="4" w:space="0"/>
            </w:tcBorders>
            <w:noWrap w:val="0"/>
            <w:vAlign w:val="center"/>
          </w:tcPr>
          <w:p w14:paraId="2411FF65">
            <w:pPr>
              <w:widowControl/>
              <w:spacing w:line="300" w:lineRule="exact"/>
              <w:jc w:val="center"/>
              <w:textAlignment w:val="center"/>
              <w:rPr>
                <w:rFonts w:ascii="宋体" w:hAnsi="宋体" w:eastAsia="宋体" w:cs="宋体"/>
                <w:color w:val="000000"/>
                <w:sz w:val="24"/>
                <w:szCs w:val="24"/>
              </w:rPr>
            </w:pPr>
            <w:r>
              <w:rPr>
                <w:rFonts w:ascii="宋体" w:hAnsi="宋体" w:eastAsia="宋体" w:cs="宋体"/>
                <w:color w:val="000000"/>
                <w:kern w:val="0"/>
                <w:sz w:val="24"/>
                <w:szCs w:val="24"/>
                <w:lang w:bidi="ar"/>
              </w:rPr>
              <w:t>绩效 指标</w:t>
            </w:r>
          </w:p>
        </w:tc>
        <w:tc>
          <w:tcPr>
            <w:tcW w:w="1081" w:type="dxa"/>
            <w:tcBorders>
              <w:top w:val="single" w:color="000000" w:sz="4" w:space="0"/>
              <w:left w:val="single" w:color="000000" w:sz="4" w:space="0"/>
              <w:bottom w:val="single" w:color="000000" w:sz="4" w:space="0"/>
              <w:right w:val="single" w:color="000000" w:sz="4" w:space="0"/>
            </w:tcBorders>
            <w:noWrap w:val="0"/>
            <w:vAlign w:val="center"/>
          </w:tcPr>
          <w:p w14:paraId="6020AF7E">
            <w:pPr>
              <w:widowControl/>
              <w:spacing w:line="300" w:lineRule="exact"/>
              <w:jc w:val="center"/>
              <w:textAlignment w:val="center"/>
              <w:rPr>
                <w:rFonts w:ascii="宋体" w:hAnsi="宋体" w:eastAsia="宋体" w:cs="宋体"/>
                <w:color w:val="000000"/>
                <w:sz w:val="24"/>
                <w:szCs w:val="24"/>
              </w:rPr>
            </w:pPr>
            <w:r>
              <w:rPr>
                <w:rFonts w:ascii="宋体" w:hAnsi="宋体" w:eastAsia="宋体" w:cs="宋体"/>
                <w:color w:val="000000"/>
                <w:kern w:val="0"/>
                <w:sz w:val="24"/>
                <w:szCs w:val="24"/>
                <w:lang w:bidi="ar"/>
              </w:rPr>
              <w:t>一级指标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2E4AA139">
            <w:pPr>
              <w:widowControl/>
              <w:spacing w:line="300" w:lineRule="exact"/>
              <w:jc w:val="center"/>
              <w:textAlignment w:val="center"/>
              <w:rPr>
                <w:rFonts w:ascii="宋体" w:hAnsi="宋体" w:eastAsia="宋体" w:cs="宋体"/>
                <w:color w:val="000000"/>
                <w:sz w:val="24"/>
                <w:szCs w:val="24"/>
              </w:rPr>
            </w:pPr>
            <w:r>
              <w:rPr>
                <w:rFonts w:ascii="宋体" w:hAnsi="宋体" w:eastAsia="宋体" w:cs="宋体"/>
                <w:color w:val="000000"/>
                <w:kern w:val="0"/>
                <w:sz w:val="24"/>
                <w:szCs w:val="24"/>
                <w:lang w:bidi="ar"/>
              </w:rPr>
              <w:t>二级指标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6F56F544">
            <w:pPr>
              <w:widowControl/>
              <w:spacing w:line="300" w:lineRule="exact"/>
              <w:jc w:val="center"/>
              <w:textAlignment w:val="center"/>
              <w:rPr>
                <w:rFonts w:ascii="宋体" w:hAnsi="宋体" w:eastAsia="宋体" w:cs="宋体"/>
                <w:color w:val="000000"/>
                <w:sz w:val="24"/>
                <w:szCs w:val="24"/>
              </w:rPr>
            </w:pPr>
            <w:r>
              <w:rPr>
                <w:rFonts w:ascii="宋体" w:hAnsi="宋体" w:eastAsia="宋体" w:cs="宋体"/>
                <w:color w:val="000000"/>
                <w:kern w:val="0"/>
                <w:sz w:val="24"/>
                <w:szCs w:val="24"/>
                <w:lang w:bidi="ar"/>
              </w:rPr>
              <w:t>三级指标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753FFAF2">
            <w:pPr>
              <w:widowControl/>
              <w:spacing w:line="300" w:lineRule="exact"/>
              <w:jc w:val="center"/>
              <w:textAlignment w:val="center"/>
              <w:rPr>
                <w:rFonts w:ascii="宋体" w:hAnsi="宋体" w:eastAsia="宋体" w:cs="宋体"/>
                <w:color w:val="000000"/>
                <w:sz w:val="24"/>
                <w:szCs w:val="24"/>
              </w:rPr>
            </w:pPr>
            <w:r>
              <w:rPr>
                <w:rFonts w:ascii="宋体" w:hAnsi="宋体" w:eastAsia="宋体" w:cs="宋体"/>
                <w:color w:val="000000"/>
                <w:kern w:val="0"/>
                <w:sz w:val="24"/>
                <w:szCs w:val="24"/>
                <w:lang w:bidi="ar"/>
              </w:rPr>
              <w:t>指标性质</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5E3E3611">
            <w:pPr>
              <w:widowControl/>
              <w:spacing w:line="300" w:lineRule="exact"/>
              <w:jc w:val="center"/>
              <w:textAlignment w:val="center"/>
              <w:rPr>
                <w:rFonts w:ascii="宋体" w:hAnsi="宋体" w:eastAsia="宋体" w:cs="宋体"/>
                <w:color w:val="000000"/>
                <w:sz w:val="24"/>
                <w:szCs w:val="24"/>
              </w:rPr>
            </w:pPr>
            <w:r>
              <w:rPr>
                <w:rFonts w:ascii="宋体" w:hAnsi="宋体" w:eastAsia="宋体" w:cs="宋体"/>
                <w:color w:val="000000"/>
                <w:kern w:val="0"/>
                <w:sz w:val="24"/>
                <w:szCs w:val="24"/>
                <w:lang w:bidi="ar"/>
              </w:rPr>
              <w:t>指标值</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25B7D39A">
            <w:pPr>
              <w:widowControl/>
              <w:spacing w:line="300" w:lineRule="exact"/>
              <w:jc w:val="center"/>
              <w:textAlignment w:val="center"/>
              <w:rPr>
                <w:rFonts w:ascii="宋体" w:hAnsi="宋体" w:eastAsia="宋体" w:cs="宋体"/>
                <w:color w:val="000000"/>
                <w:sz w:val="24"/>
                <w:szCs w:val="24"/>
              </w:rPr>
            </w:pPr>
            <w:r>
              <w:rPr>
                <w:rFonts w:ascii="宋体" w:hAnsi="宋体" w:eastAsia="宋体" w:cs="宋体"/>
                <w:color w:val="000000"/>
                <w:kern w:val="0"/>
                <w:sz w:val="24"/>
                <w:szCs w:val="24"/>
                <w:lang w:bidi="ar"/>
              </w:rPr>
              <w:t>度量单位</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7D974AA0">
            <w:pPr>
              <w:widowControl/>
              <w:spacing w:line="300" w:lineRule="exact"/>
              <w:jc w:val="center"/>
              <w:textAlignment w:val="center"/>
              <w:rPr>
                <w:rFonts w:ascii="宋体" w:hAnsi="宋体" w:eastAsia="宋体" w:cs="宋体"/>
                <w:color w:val="000000"/>
                <w:sz w:val="24"/>
                <w:szCs w:val="24"/>
              </w:rPr>
            </w:pPr>
            <w:r>
              <w:rPr>
                <w:rFonts w:ascii="宋体" w:hAnsi="宋体" w:eastAsia="宋体" w:cs="宋体"/>
                <w:color w:val="000000"/>
                <w:kern w:val="0"/>
                <w:sz w:val="24"/>
                <w:szCs w:val="24"/>
                <w:lang w:bidi="ar"/>
              </w:rPr>
              <w:t>权重</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1D23E86F">
            <w:pPr>
              <w:widowControl/>
              <w:spacing w:line="300" w:lineRule="exact"/>
              <w:jc w:val="center"/>
              <w:textAlignment w:val="center"/>
              <w:rPr>
                <w:rFonts w:ascii="宋体" w:hAnsi="宋体" w:eastAsia="宋体" w:cs="宋体"/>
                <w:color w:val="000000"/>
                <w:sz w:val="24"/>
                <w:szCs w:val="24"/>
              </w:rPr>
            </w:pPr>
            <w:r>
              <w:rPr>
                <w:rFonts w:ascii="宋体" w:hAnsi="宋体" w:eastAsia="宋体" w:cs="宋体"/>
                <w:color w:val="000000"/>
                <w:kern w:val="0"/>
                <w:sz w:val="24"/>
                <w:szCs w:val="24"/>
                <w:lang w:bidi="ar"/>
              </w:rPr>
              <w:t>实际完成指标值</w:t>
            </w:r>
          </w:p>
        </w:tc>
      </w:tr>
      <w:tr w14:paraId="5CF4DA22">
        <w:tblPrEx>
          <w:tblCellMar>
            <w:top w:w="15" w:type="dxa"/>
            <w:left w:w="15" w:type="dxa"/>
            <w:bottom w:w="15" w:type="dxa"/>
            <w:right w:w="15" w:type="dxa"/>
          </w:tblCellMar>
        </w:tblPrEx>
        <w:trPr>
          <w:trHeight w:val="23" w:hRule="atLeast"/>
        </w:trPr>
        <w:tc>
          <w:tcPr>
            <w:tcW w:w="652" w:type="dxa"/>
            <w:vMerge w:val="continue"/>
            <w:tcBorders>
              <w:top w:val="single" w:color="000000" w:sz="4" w:space="0"/>
              <w:left w:val="single" w:color="000000" w:sz="4" w:space="0"/>
              <w:bottom w:val="single" w:color="000000" w:sz="4" w:space="0"/>
            </w:tcBorders>
            <w:noWrap w:val="0"/>
            <w:vAlign w:val="center"/>
          </w:tcPr>
          <w:p w14:paraId="3C452367">
            <w:pPr>
              <w:spacing w:line="300" w:lineRule="exact"/>
              <w:jc w:val="center"/>
              <w:rPr>
                <w:rFonts w:hint="eastAsia" w:ascii="宋体" w:hAnsi="宋体" w:eastAsia="宋体" w:cs="宋体"/>
                <w:color w:val="000000"/>
                <w:sz w:val="24"/>
                <w:szCs w:val="24"/>
              </w:rPr>
            </w:pPr>
          </w:p>
        </w:tc>
        <w:tc>
          <w:tcPr>
            <w:tcW w:w="1081" w:type="dxa"/>
            <w:vMerge w:val="restart"/>
            <w:tcBorders>
              <w:top w:val="single" w:color="000000" w:sz="4" w:space="0"/>
              <w:left w:val="single" w:color="000000" w:sz="4" w:space="0"/>
              <w:right w:val="single" w:color="000000" w:sz="4" w:space="0"/>
            </w:tcBorders>
            <w:noWrap w:val="0"/>
            <w:vAlign w:val="center"/>
          </w:tcPr>
          <w:p w14:paraId="32DFCC16">
            <w:pPr>
              <w:widowControl/>
              <w:spacing w:line="300" w:lineRule="exact"/>
              <w:jc w:val="center"/>
              <w:textAlignment w:val="center"/>
              <w:rPr>
                <w:rFonts w:ascii="宋体" w:hAnsi="宋体" w:eastAsia="宋体" w:cs="宋体"/>
                <w:color w:val="000000"/>
                <w:sz w:val="24"/>
                <w:szCs w:val="24"/>
              </w:rPr>
            </w:pPr>
            <w:r>
              <w:rPr>
                <w:rFonts w:ascii="宋体" w:hAnsi="宋体" w:eastAsia="宋体" w:cs="宋体"/>
                <w:color w:val="000000"/>
                <w:kern w:val="0"/>
                <w:sz w:val="24"/>
                <w:szCs w:val="24"/>
                <w:lang w:bidi="ar"/>
              </w:rPr>
              <w:t>产出指标</w:t>
            </w:r>
          </w:p>
        </w:tc>
        <w:tc>
          <w:tcPr>
            <w:tcW w:w="1250" w:type="dxa"/>
            <w:vMerge w:val="restart"/>
            <w:tcBorders>
              <w:top w:val="single" w:color="000000" w:sz="4" w:space="0"/>
              <w:left w:val="single" w:color="000000" w:sz="4" w:space="0"/>
              <w:right w:val="single" w:color="000000" w:sz="4" w:space="0"/>
            </w:tcBorders>
            <w:noWrap w:val="0"/>
            <w:vAlign w:val="center"/>
          </w:tcPr>
          <w:p w14:paraId="4550E629">
            <w:pPr>
              <w:widowControl/>
              <w:spacing w:line="300" w:lineRule="exact"/>
              <w:jc w:val="center"/>
              <w:textAlignment w:val="center"/>
              <w:rPr>
                <w:rFonts w:ascii="宋体" w:hAnsi="宋体" w:eastAsia="宋体" w:cs="宋体"/>
                <w:color w:val="000000"/>
                <w:sz w:val="24"/>
                <w:szCs w:val="24"/>
              </w:rPr>
            </w:pPr>
            <w:r>
              <w:rPr>
                <w:rFonts w:ascii="宋体" w:hAnsi="宋体" w:eastAsia="宋体" w:cs="宋体"/>
                <w:color w:val="000000"/>
                <w:kern w:val="0"/>
                <w:sz w:val="24"/>
                <w:szCs w:val="24"/>
                <w:lang w:bidi="ar"/>
              </w:rPr>
              <w:t>数量指标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671A9644">
            <w:pPr>
              <w:spacing w:line="300" w:lineRule="exact"/>
              <w:rPr>
                <w:rFonts w:hint="eastAsia" w:ascii="宋体" w:hAnsi="宋体" w:eastAsia="宋体" w:cs="宋体"/>
                <w:color w:val="000000"/>
                <w:sz w:val="24"/>
                <w:szCs w:val="24"/>
              </w:rPr>
            </w:pPr>
            <w:r>
              <w:rPr>
                <w:rFonts w:hint="eastAsia" w:ascii="宋体" w:hAnsi="宋体" w:eastAsia="宋体" w:cs="宋体"/>
                <w:color w:val="000000"/>
                <w:sz w:val="24"/>
                <w:szCs w:val="24"/>
              </w:rPr>
              <w:t>维修次数</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1FBC483A">
            <w:pPr>
              <w:spacing w:line="30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6668CD6E">
            <w:pPr>
              <w:spacing w:line="300" w:lineRule="exact"/>
              <w:jc w:val="center"/>
              <w:rPr>
                <w:rFonts w:hint="default"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200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68CC6052">
            <w:pPr>
              <w:spacing w:line="300" w:lineRule="exact"/>
              <w:jc w:val="center"/>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次</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56B1ED8E">
            <w:pPr>
              <w:spacing w:line="300" w:lineRule="exact"/>
              <w:jc w:val="center"/>
              <w:rPr>
                <w:rFonts w:hint="default"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392FFBE9">
            <w:pPr>
              <w:spacing w:line="300" w:lineRule="exact"/>
              <w:jc w:val="center"/>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sz w:val="24"/>
                <w:szCs w:val="24"/>
                <w:lang w:val="en-US" w:eastAsia="zh-CN"/>
              </w:rPr>
              <w:t>200</w:t>
            </w:r>
          </w:p>
        </w:tc>
      </w:tr>
      <w:tr w14:paraId="3247EBEB">
        <w:tblPrEx>
          <w:tblCellMar>
            <w:top w:w="15" w:type="dxa"/>
            <w:left w:w="15" w:type="dxa"/>
            <w:bottom w:w="15" w:type="dxa"/>
            <w:right w:w="15" w:type="dxa"/>
          </w:tblCellMar>
        </w:tblPrEx>
        <w:trPr>
          <w:trHeight w:val="23" w:hRule="atLeast"/>
        </w:trPr>
        <w:tc>
          <w:tcPr>
            <w:tcW w:w="652" w:type="dxa"/>
            <w:vMerge w:val="continue"/>
            <w:tcBorders>
              <w:top w:val="single" w:color="000000" w:sz="4" w:space="0"/>
              <w:left w:val="single" w:color="000000" w:sz="4" w:space="0"/>
              <w:bottom w:val="single" w:color="000000" w:sz="4" w:space="0"/>
            </w:tcBorders>
            <w:noWrap w:val="0"/>
            <w:vAlign w:val="center"/>
          </w:tcPr>
          <w:p w14:paraId="63F3294C">
            <w:pPr>
              <w:spacing w:line="300" w:lineRule="exact"/>
              <w:jc w:val="center"/>
              <w:rPr>
                <w:rFonts w:hint="eastAsia" w:ascii="宋体" w:hAnsi="宋体" w:eastAsia="宋体" w:cs="宋体"/>
                <w:color w:val="000000"/>
                <w:sz w:val="24"/>
                <w:szCs w:val="24"/>
              </w:rPr>
            </w:pPr>
          </w:p>
        </w:tc>
        <w:tc>
          <w:tcPr>
            <w:tcW w:w="1081" w:type="dxa"/>
            <w:vMerge w:val="continue"/>
            <w:tcBorders>
              <w:left w:val="single" w:color="000000" w:sz="4" w:space="0"/>
              <w:right w:val="single" w:color="000000" w:sz="4" w:space="0"/>
            </w:tcBorders>
            <w:noWrap w:val="0"/>
            <w:vAlign w:val="center"/>
          </w:tcPr>
          <w:p w14:paraId="29ECB0E0">
            <w:pPr>
              <w:spacing w:line="300" w:lineRule="exact"/>
              <w:jc w:val="center"/>
              <w:rPr>
                <w:rFonts w:hint="eastAsia" w:ascii="宋体" w:hAnsi="宋体" w:eastAsia="宋体" w:cs="宋体"/>
                <w:color w:val="000000"/>
                <w:sz w:val="24"/>
                <w:szCs w:val="24"/>
              </w:rPr>
            </w:pPr>
          </w:p>
        </w:tc>
        <w:tc>
          <w:tcPr>
            <w:tcW w:w="1250" w:type="dxa"/>
            <w:vMerge w:val="continue"/>
            <w:tcBorders>
              <w:left w:val="single" w:color="000000" w:sz="4" w:space="0"/>
              <w:right w:val="single" w:color="000000" w:sz="4" w:space="0"/>
            </w:tcBorders>
            <w:noWrap w:val="0"/>
            <w:vAlign w:val="center"/>
          </w:tcPr>
          <w:p w14:paraId="5161B7E6">
            <w:pPr>
              <w:widowControl/>
              <w:spacing w:line="300" w:lineRule="exact"/>
              <w:jc w:val="center"/>
              <w:textAlignment w:val="center"/>
              <w:rPr>
                <w:rFonts w:ascii="宋体" w:hAnsi="宋体" w:eastAsia="宋体" w:cs="宋体"/>
                <w:color w:val="000000"/>
                <w:sz w:val="24"/>
                <w:szCs w:val="24"/>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79D1956B">
            <w:pPr>
              <w:spacing w:line="300" w:lineRule="exact"/>
              <w:rPr>
                <w:rFonts w:hint="eastAsia" w:ascii="宋体" w:hAnsi="宋体" w:eastAsia="宋体" w:cs="宋体"/>
                <w:color w:val="000000"/>
                <w:sz w:val="24"/>
                <w:szCs w:val="24"/>
              </w:rPr>
            </w:pPr>
            <w:r>
              <w:rPr>
                <w:rFonts w:hint="eastAsia" w:ascii="宋体" w:hAnsi="宋体" w:eastAsia="宋体" w:cs="宋体"/>
                <w:color w:val="000000"/>
                <w:sz w:val="24"/>
                <w:szCs w:val="24"/>
              </w:rPr>
              <w:t>换新次数</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37A335F8">
            <w:pPr>
              <w:spacing w:line="30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59312C3C">
            <w:pPr>
              <w:spacing w:line="300" w:lineRule="exact"/>
              <w:jc w:val="center"/>
              <w:rPr>
                <w:rFonts w:hint="default"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20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0F2183AD">
            <w:pPr>
              <w:spacing w:line="300" w:lineRule="exact"/>
              <w:jc w:val="center"/>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次</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6D82F1C8">
            <w:pPr>
              <w:spacing w:line="30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69E38743">
            <w:pPr>
              <w:spacing w:line="300" w:lineRule="exact"/>
              <w:jc w:val="center"/>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sz w:val="24"/>
                <w:szCs w:val="24"/>
                <w:lang w:val="en-US" w:eastAsia="zh-CN"/>
              </w:rPr>
              <w:t>20</w:t>
            </w:r>
          </w:p>
        </w:tc>
      </w:tr>
      <w:tr w14:paraId="68CFBCB2">
        <w:tblPrEx>
          <w:tblCellMar>
            <w:top w:w="15" w:type="dxa"/>
            <w:left w:w="15" w:type="dxa"/>
            <w:bottom w:w="15" w:type="dxa"/>
            <w:right w:w="15" w:type="dxa"/>
          </w:tblCellMar>
        </w:tblPrEx>
        <w:trPr>
          <w:trHeight w:val="23" w:hRule="atLeast"/>
        </w:trPr>
        <w:tc>
          <w:tcPr>
            <w:tcW w:w="652" w:type="dxa"/>
            <w:vMerge w:val="continue"/>
            <w:tcBorders>
              <w:top w:val="single" w:color="000000" w:sz="4" w:space="0"/>
              <w:left w:val="single" w:color="000000" w:sz="4" w:space="0"/>
              <w:bottom w:val="single" w:color="000000" w:sz="4" w:space="0"/>
            </w:tcBorders>
            <w:noWrap w:val="0"/>
            <w:vAlign w:val="center"/>
          </w:tcPr>
          <w:p w14:paraId="002056FE">
            <w:pPr>
              <w:spacing w:line="300" w:lineRule="exact"/>
              <w:jc w:val="center"/>
              <w:rPr>
                <w:rFonts w:hint="eastAsia" w:ascii="宋体" w:hAnsi="宋体" w:eastAsia="宋体" w:cs="宋体"/>
                <w:color w:val="000000"/>
                <w:sz w:val="24"/>
                <w:szCs w:val="24"/>
              </w:rPr>
            </w:pPr>
          </w:p>
        </w:tc>
        <w:tc>
          <w:tcPr>
            <w:tcW w:w="1081" w:type="dxa"/>
            <w:vMerge w:val="continue"/>
            <w:tcBorders>
              <w:left w:val="single" w:color="000000" w:sz="4" w:space="0"/>
              <w:right w:val="single" w:color="000000" w:sz="4" w:space="0"/>
            </w:tcBorders>
            <w:noWrap w:val="0"/>
            <w:vAlign w:val="center"/>
          </w:tcPr>
          <w:p w14:paraId="7636E2F5">
            <w:pPr>
              <w:spacing w:line="300" w:lineRule="exact"/>
              <w:jc w:val="center"/>
              <w:rPr>
                <w:rFonts w:hint="eastAsia" w:ascii="宋体" w:hAnsi="宋体" w:eastAsia="宋体" w:cs="宋体"/>
                <w:color w:val="000000"/>
                <w:sz w:val="24"/>
                <w:szCs w:val="24"/>
              </w:rPr>
            </w:pPr>
          </w:p>
        </w:tc>
        <w:tc>
          <w:tcPr>
            <w:tcW w:w="1250" w:type="dxa"/>
            <w:vMerge w:val="continue"/>
            <w:tcBorders>
              <w:left w:val="single" w:color="000000" w:sz="4" w:space="0"/>
              <w:bottom w:val="single" w:color="000000" w:sz="4" w:space="0"/>
              <w:right w:val="single" w:color="000000" w:sz="4" w:space="0"/>
            </w:tcBorders>
            <w:noWrap w:val="0"/>
            <w:vAlign w:val="center"/>
          </w:tcPr>
          <w:p w14:paraId="268FAA29">
            <w:pPr>
              <w:widowControl/>
              <w:spacing w:line="300" w:lineRule="exact"/>
              <w:jc w:val="center"/>
              <w:textAlignment w:val="center"/>
              <w:rPr>
                <w:rFonts w:ascii="宋体" w:hAnsi="宋体" w:eastAsia="宋体" w:cs="宋体"/>
                <w:color w:val="000000"/>
                <w:sz w:val="24"/>
                <w:szCs w:val="24"/>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09173E23">
            <w:pPr>
              <w:spacing w:line="300" w:lineRule="exact"/>
              <w:rPr>
                <w:rFonts w:hint="eastAsia" w:ascii="宋体" w:hAnsi="宋体" w:eastAsia="宋体" w:cs="宋体"/>
                <w:color w:val="000000"/>
                <w:sz w:val="24"/>
                <w:szCs w:val="24"/>
              </w:rPr>
            </w:pPr>
            <w:r>
              <w:rPr>
                <w:rFonts w:hint="eastAsia" w:ascii="宋体" w:hAnsi="宋体" w:eastAsia="宋体" w:cs="宋体"/>
                <w:color w:val="000000"/>
                <w:sz w:val="24"/>
                <w:szCs w:val="24"/>
              </w:rPr>
              <w:t>用于城市清洁车辆</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064918FA">
            <w:pPr>
              <w:spacing w:line="30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6B72FC98">
            <w:pPr>
              <w:spacing w:line="300" w:lineRule="exact"/>
              <w:jc w:val="center"/>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rPr>
              <w:t>1</w:t>
            </w:r>
            <w:r>
              <w:rPr>
                <w:rFonts w:hint="eastAsia" w:ascii="宋体" w:hAnsi="宋体" w:eastAsia="宋体" w:cs="宋体"/>
                <w:color w:val="000000"/>
                <w:sz w:val="24"/>
                <w:szCs w:val="24"/>
                <w:lang w:val="en-US" w:eastAsia="zh-CN"/>
              </w:rPr>
              <w:t>9</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59D58C47">
            <w:pPr>
              <w:spacing w:line="300" w:lineRule="exact"/>
              <w:jc w:val="center"/>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辆</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7F764D62">
            <w:pPr>
              <w:spacing w:line="30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5DD79338">
            <w:pPr>
              <w:spacing w:line="300" w:lineRule="exact"/>
              <w:jc w:val="center"/>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sz w:val="24"/>
                <w:szCs w:val="24"/>
              </w:rPr>
              <w:t>1</w:t>
            </w:r>
            <w:r>
              <w:rPr>
                <w:rFonts w:hint="eastAsia" w:ascii="宋体" w:hAnsi="宋体" w:eastAsia="宋体" w:cs="宋体"/>
                <w:color w:val="000000"/>
                <w:sz w:val="24"/>
                <w:szCs w:val="24"/>
                <w:lang w:val="en-US" w:eastAsia="zh-CN"/>
              </w:rPr>
              <w:t>9</w:t>
            </w:r>
          </w:p>
        </w:tc>
      </w:tr>
      <w:tr w14:paraId="758C9F17">
        <w:tblPrEx>
          <w:tblCellMar>
            <w:top w:w="15" w:type="dxa"/>
            <w:left w:w="15" w:type="dxa"/>
            <w:bottom w:w="15" w:type="dxa"/>
            <w:right w:w="15" w:type="dxa"/>
          </w:tblCellMar>
        </w:tblPrEx>
        <w:trPr>
          <w:trHeight w:val="23" w:hRule="atLeast"/>
        </w:trPr>
        <w:tc>
          <w:tcPr>
            <w:tcW w:w="652" w:type="dxa"/>
            <w:vMerge w:val="continue"/>
            <w:tcBorders>
              <w:top w:val="single" w:color="000000" w:sz="4" w:space="0"/>
              <w:left w:val="single" w:color="000000" w:sz="4" w:space="0"/>
              <w:bottom w:val="single" w:color="000000" w:sz="4" w:space="0"/>
            </w:tcBorders>
            <w:noWrap w:val="0"/>
            <w:vAlign w:val="center"/>
          </w:tcPr>
          <w:p w14:paraId="7EC4D287">
            <w:pPr>
              <w:spacing w:line="300" w:lineRule="exact"/>
              <w:jc w:val="center"/>
              <w:rPr>
                <w:rFonts w:hint="eastAsia" w:ascii="宋体" w:hAnsi="宋体" w:eastAsia="宋体" w:cs="宋体"/>
                <w:color w:val="000000"/>
                <w:sz w:val="24"/>
                <w:szCs w:val="24"/>
              </w:rPr>
            </w:pPr>
          </w:p>
        </w:tc>
        <w:tc>
          <w:tcPr>
            <w:tcW w:w="1081" w:type="dxa"/>
            <w:vMerge w:val="continue"/>
            <w:tcBorders>
              <w:left w:val="single" w:color="000000" w:sz="4" w:space="0"/>
              <w:bottom w:val="single" w:color="000000" w:sz="4" w:space="0"/>
              <w:right w:val="single" w:color="000000" w:sz="4" w:space="0"/>
            </w:tcBorders>
            <w:noWrap w:val="0"/>
            <w:vAlign w:val="center"/>
          </w:tcPr>
          <w:p w14:paraId="73DBE8A8">
            <w:pPr>
              <w:spacing w:line="300" w:lineRule="exact"/>
              <w:jc w:val="center"/>
              <w:rPr>
                <w:rFonts w:hint="eastAsia" w:ascii="宋体" w:hAnsi="宋体" w:eastAsia="宋体" w:cs="宋体"/>
                <w:color w:val="000000"/>
                <w:sz w:val="24"/>
                <w:szCs w:val="24"/>
              </w:rPr>
            </w:pP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2AA9DDCF">
            <w:pPr>
              <w:widowControl/>
              <w:spacing w:line="300" w:lineRule="exact"/>
              <w:jc w:val="center"/>
              <w:textAlignment w:val="center"/>
              <w:rPr>
                <w:rFonts w:hint="eastAsia" w:ascii="宋体" w:hAnsi="宋体" w:eastAsia="宋体" w:cs="宋体"/>
                <w:color w:val="000000"/>
                <w:kern w:val="0"/>
                <w:sz w:val="24"/>
                <w:szCs w:val="24"/>
                <w:lang w:eastAsia="zh-CN" w:bidi="ar"/>
              </w:rPr>
            </w:pPr>
            <w:r>
              <w:rPr>
                <w:rFonts w:hint="eastAsia" w:ascii="宋体" w:hAnsi="宋体" w:eastAsia="宋体" w:cs="宋体"/>
                <w:color w:val="000000"/>
                <w:kern w:val="0"/>
                <w:sz w:val="24"/>
                <w:szCs w:val="24"/>
                <w:lang w:eastAsia="zh-CN" w:bidi="ar"/>
              </w:rPr>
              <w:t>质量指标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4D2B5974">
            <w:pPr>
              <w:spacing w:line="300" w:lineRule="exact"/>
              <w:rPr>
                <w:rFonts w:hint="eastAsia" w:ascii="宋体" w:hAnsi="宋体" w:eastAsia="宋体" w:cs="宋体"/>
                <w:color w:val="000000"/>
                <w:sz w:val="24"/>
                <w:szCs w:val="24"/>
              </w:rPr>
            </w:pPr>
            <w:r>
              <w:rPr>
                <w:rFonts w:hint="eastAsia" w:ascii="宋体" w:hAnsi="宋体" w:eastAsia="宋体" w:cs="宋体"/>
                <w:color w:val="000000"/>
                <w:sz w:val="24"/>
                <w:szCs w:val="24"/>
              </w:rPr>
              <w:t>城市清洁率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6D09318D">
            <w:pPr>
              <w:spacing w:line="30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4E13A5C9">
            <w:pPr>
              <w:spacing w:line="300" w:lineRule="exact"/>
              <w:jc w:val="center"/>
              <w:rPr>
                <w:rFonts w:hint="default"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95</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6A145B11">
            <w:pPr>
              <w:spacing w:line="300" w:lineRule="exact"/>
              <w:jc w:val="center"/>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2142257A">
            <w:pPr>
              <w:spacing w:line="300" w:lineRule="exact"/>
              <w:jc w:val="center"/>
              <w:rPr>
                <w:rFonts w:hint="default"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20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2C00CFF2">
            <w:pPr>
              <w:spacing w:line="300" w:lineRule="exact"/>
              <w:jc w:val="center"/>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sz w:val="24"/>
                <w:szCs w:val="24"/>
                <w:lang w:val="en-US" w:eastAsia="zh-CN"/>
              </w:rPr>
              <w:t>95</w:t>
            </w:r>
          </w:p>
        </w:tc>
      </w:tr>
      <w:tr w14:paraId="2B286ABD">
        <w:tblPrEx>
          <w:tblCellMar>
            <w:top w:w="15" w:type="dxa"/>
            <w:left w:w="15" w:type="dxa"/>
            <w:bottom w:w="15" w:type="dxa"/>
            <w:right w:w="15" w:type="dxa"/>
          </w:tblCellMar>
        </w:tblPrEx>
        <w:trPr>
          <w:trHeight w:val="23" w:hRule="atLeast"/>
        </w:trPr>
        <w:tc>
          <w:tcPr>
            <w:tcW w:w="652" w:type="dxa"/>
            <w:vMerge w:val="continue"/>
            <w:tcBorders>
              <w:top w:val="single" w:color="000000" w:sz="4" w:space="0"/>
              <w:left w:val="single" w:color="000000" w:sz="4" w:space="0"/>
              <w:bottom w:val="single" w:color="000000" w:sz="4" w:space="0"/>
            </w:tcBorders>
            <w:noWrap w:val="0"/>
            <w:vAlign w:val="center"/>
          </w:tcPr>
          <w:p w14:paraId="744FFA47">
            <w:pPr>
              <w:spacing w:line="300" w:lineRule="exact"/>
              <w:jc w:val="center"/>
              <w:rPr>
                <w:rFonts w:hint="eastAsia" w:ascii="宋体" w:hAnsi="宋体" w:eastAsia="宋体" w:cs="宋体"/>
                <w:color w:val="000000"/>
                <w:sz w:val="24"/>
                <w:szCs w:val="24"/>
              </w:rPr>
            </w:pPr>
          </w:p>
        </w:tc>
        <w:tc>
          <w:tcPr>
            <w:tcW w:w="1081" w:type="dxa"/>
            <w:vMerge w:val="restart"/>
            <w:tcBorders>
              <w:top w:val="single" w:color="000000" w:sz="4" w:space="0"/>
              <w:left w:val="single" w:color="000000" w:sz="4" w:space="0"/>
              <w:right w:val="single" w:color="000000" w:sz="4" w:space="0"/>
            </w:tcBorders>
            <w:noWrap w:val="0"/>
            <w:vAlign w:val="center"/>
          </w:tcPr>
          <w:p w14:paraId="4FFC51EA">
            <w:pPr>
              <w:widowControl/>
              <w:spacing w:line="300" w:lineRule="exact"/>
              <w:jc w:val="center"/>
              <w:textAlignment w:val="center"/>
              <w:rPr>
                <w:rFonts w:ascii="宋体" w:hAnsi="宋体" w:eastAsia="宋体" w:cs="宋体"/>
                <w:color w:val="000000"/>
                <w:sz w:val="24"/>
                <w:szCs w:val="24"/>
              </w:rPr>
            </w:pPr>
            <w:r>
              <w:rPr>
                <w:rFonts w:ascii="宋体" w:hAnsi="宋体" w:eastAsia="宋体" w:cs="宋体"/>
                <w:color w:val="000000"/>
                <w:kern w:val="0"/>
                <w:sz w:val="24"/>
                <w:szCs w:val="24"/>
                <w:lang w:bidi="ar"/>
              </w:rPr>
              <w:t>效益指标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7FAEFC83">
            <w:pPr>
              <w:widowControl/>
              <w:spacing w:line="300" w:lineRule="exact"/>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可持续影响指标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4C4837F3">
            <w:pPr>
              <w:spacing w:line="300" w:lineRule="exact"/>
              <w:rPr>
                <w:rFonts w:hint="eastAsia" w:ascii="宋体" w:hAnsi="宋体" w:eastAsia="宋体" w:cs="宋体"/>
                <w:color w:val="000000"/>
                <w:sz w:val="24"/>
                <w:szCs w:val="24"/>
              </w:rPr>
            </w:pPr>
            <w:r>
              <w:rPr>
                <w:rFonts w:hint="eastAsia" w:ascii="宋体" w:hAnsi="宋体" w:eastAsia="宋体" w:cs="宋体"/>
                <w:color w:val="000000"/>
                <w:sz w:val="24"/>
                <w:szCs w:val="24"/>
              </w:rPr>
              <w:t>对提升市政管理工作效率，提升市政管理工作正规化水平的持续影响</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5758FEDF">
            <w:pPr>
              <w:spacing w:line="300" w:lineRule="exact"/>
              <w:jc w:val="center"/>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定性</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107FBF1D">
            <w:pPr>
              <w:spacing w:line="300" w:lineRule="exact"/>
              <w:jc w:val="center"/>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优</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1F47AAC7">
            <w:pPr>
              <w:spacing w:line="300" w:lineRule="exact"/>
              <w:jc w:val="center"/>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28C3603C">
            <w:pPr>
              <w:spacing w:line="300" w:lineRule="exact"/>
              <w:jc w:val="center"/>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rPr>
              <w:t>1</w:t>
            </w:r>
            <w:r>
              <w:rPr>
                <w:rFonts w:hint="eastAsia" w:ascii="宋体" w:hAnsi="宋体" w:eastAsia="宋体" w:cs="宋体"/>
                <w:color w:val="000000"/>
                <w:sz w:val="24"/>
                <w:szCs w:val="24"/>
                <w:lang w:val="en-US" w:eastAsia="zh-CN"/>
              </w:rPr>
              <w:t>5</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3648B3C7">
            <w:pPr>
              <w:spacing w:line="300" w:lineRule="exact"/>
              <w:jc w:val="center"/>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sz w:val="24"/>
                <w:szCs w:val="24"/>
                <w:lang w:eastAsia="zh-CN"/>
              </w:rPr>
              <w:t>优</w:t>
            </w:r>
          </w:p>
        </w:tc>
      </w:tr>
      <w:tr w14:paraId="38838CE9">
        <w:tblPrEx>
          <w:tblCellMar>
            <w:top w:w="15" w:type="dxa"/>
            <w:left w:w="15" w:type="dxa"/>
            <w:bottom w:w="15" w:type="dxa"/>
            <w:right w:w="15" w:type="dxa"/>
          </w:tblCellMar>
        </w:tblPrEx>
        <w:trPr>
          <w:trHeight w:val="23" w:hRule="atLeast"/>
        </w:trPr>
        <w:tc>
          <w:tcPr>
            <w:tcW w:w="652" w:type="dxa"/>
            <w:vMerge w:val="continue"/>
            <w:tcBorders>
              <w:top w:val="single" w:color="000000" w:sz="4" w:space="0"/>
              <w:left w:val="single" w:color="000000" w:sz="4" w:space="0"/>
              <w:bottom w:val="single" w:color="000000" w:sz="4" w:space="0"/>
            </w:tcBorders>
            <w:noWrap w:val="0"/>
            <w:vAlign w:val="center"/>
          </w:tcPr>
          <w:p w14:paraId="3999DA64">
            <w:pPr>
              <w:spacing w:line="300" w:lineRule="exact"/>
              <w:jc w:val="center"/>
              <w:rPr>
                <w:rFonts w:hint="eastAsia" w:ascii="宋体" w:hAnsi="宋体" w:eastAsia="宋体" w:cs="宋体"/>
                <w:color w:val="000000"/>
                <w:sz w:val="24"/>
                <w:szCs w:val="24"/>
              </w:rPr>
            </w:pPr>
          </w:p>
        </w:tc>
        <w:tc>
          <w:tcPr>
            <w:tcW w:w="1081" w:type="dxa"/>
            <w:vMerge w:val="continue"/>
            <w:tcBorders>
              <w:left w:val="single" w:color="000000" w:sz="4" w:space="0"/>
              <w:bottom w:val="single" w:color="000000" w:sz="4" w:space="0"/>
              <w:right w:val="single" w:color="000000" w:sz="4" w:space="0"/>
            </w:tcBorders>
            <w:noWrap w:val="0"/>
            <w:vAlign w:val="center"/>
          </w:tcPr>
          <w:p w14:paraId="7D60794E">
            <w:pPr>
              <w:widowControl/>
              <w:spacing w:line="300" w:lineRule="exact"/>
              <w:jc w:val="center"/>
              <w:textAlignment w:val="center"/>
              <w:rPr>
                <w:rFonts w:ascii="宋体" w:hAnsi="宋体" w:eastAsia="宋体" w:cs="宋体"/>
                <w:color w:val="000000"/>
                <w:kern w:val="0"/>
                <w:sz w:val="24"/>
                <w:szCs w:val="24"/>
                <w:lang w:bidi="ar"/>
              </w:rPr>
            </w:pP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1FEAE288">
            <w:pPr>
              <w:widowControl/>
              <w:spacing w:line="300" w:lineRule="exact"/>
              <w:jc w:val="center"/>
              <w:textAlignment w:val="center"/>
              <w:rPr>
                <w:rFonts w:hint="eastAsia" w:ascii="宋体" w:hAnsi="宋体" w:eastAsia="宋体" w:cs="宋体"/>
                <w:color w:val="000000"/>
                <w:kern w:val="0"/>
                <w:sz w:val="24"/>
                <w:szCs w:val="24"/>
                <w:lang w:eastAsia="zh-CN" w:bidi="ar"/>
              </w:rPr>
            </w:pPr>
            <w:r>
              <w:rPr>
                <w:rFonts w:hint="eastAsia" w:ascii="宋体" w:hAnsi="宋体" w:eastAsia="宋体" w:cs="宋体"/>
                <w:color w:val="000000"/>
                <w:kern w:val="0"/>
                <w:sz w:val="24"/>
                <w:szCs w:val="24"/>
                <w:lang w:eastAsia="zh-CN" w:bidi="ar"/>
              </w:rPr>
              <w:t>社会效益指标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61C9FAA7">
            <w:pPr>
              <w:spacing w:line="300" w:lineRule="exact"/>
              <w:rPr>
                <w:rFonts w:hint="eastAsia" w:ascii="宋体" w:hAnsi="宋体" w:eastAsia="宋体" w:cs="宋体"/>
                <w:color w:val="000000"/>
                <w:sz w:val="24"/>
                <w:szCs w:val="24"/>
              </w:rPr>
            </w:pPr>
            <w:r>
              <w:rPr>
                <w:rFonts w:hint="eastAsia" w:ascii="宋体" w:hAnsi="宋体" w:eastAsia="宋体" w:cs="宋体"/>
                <w:color w:val="000000"/>
                <w:sz w:val="24"/>
                <w:szCs w:val="24"/>
              </w:rPr>
              <w:t>加强城区市容市貌管理，改善县城人居环境</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0F0E8B25">
            <w:pPr>
              <w:spacing w:line="30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定性</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5128DCD9">
            <w:pPr>
              <w:spacing w:line="300" w:lineRule="exact"/>
              <w:jc w:val="center"/>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优</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633D400B">
            <w:pPr>
              <w:spacing w:line="300" w:lineRule="exact"/>
              <w:jc w:val="center"/>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381C8885">
            <w:pPr>
              <w:spacing w:line="300" w:lineRule="exact"/>
              <w:jc w:val="center"/>
              <w:rPr>
                <w:rFonts w:hint="default"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15</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67AF373F">
            <w:pPr>
              <w:spacing w:line="300" w:lineRule="exact"/>
              <w:jc w:val="center"/>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sz w:val="24"/>
                <w:szCs w:val="24"/>
                <w:lang w:eastAsia="zh-CN"/>
              </w:rPr>
              <w:t>优</w:t>
            </w:r>
          </w:p>
        </w:tc>
      </w:tr>
      <w:tr w14:paraId="09036A92">
        <w:tblPrEx>
          <w:tblCellMar>
            <w:top w:w="15" w:type="dxa"/>
            <w:left w:w="15" w:type="dxa"/>
            <w:bottom w:w="15" w:type="dxa"/>
            <w:right w:w="15" w:type="dxa"/>
          </w:tblCellMar>
        </w:tblPrEx>
        <w:trPr>
          <w:trHeight w:val="23" w:hRule="atLeast"/>
        </w:trPr>
        <w:tc>
          <w:tcPr>
            <w:tcW w:w="652" w:type="dxa"/>
            <w:vMerge w:val="continue"/>
            <w:tcBorders>
              <w:top w:val="single" w:color="000000" w:sz="4" w:space="0"/>
              <w:left w:val="single" w:color="000000" w:sz="4" w:space="0"/>
              <w:bottom w:val="single" w:color="000000" w:sz="4" w:space="0"/>
            </w:tcBorders>
            <w:noWrap w:val="0"/>
            <w:vAlign w:val="center"/>
          </w:tcPr>
          <w:p w14:paraId="5932306C">
            <w:pPr>
              <w:spacing w:line="300" w:lineRule="exact"/>
              <w:jc w:val="center"/>
              <w:rPr>
                <w:rFonts w:hint="eastAsia" w:ascii="宋体" w:hAnsi="宋体" w:eastAsia="宋体" w:cs="宋体"/>
                <w:color w:val="000000"/>
                <w:sz w:val="24"/>
                <w:szCs w:val="24"/>
              </w:rPr>
            </w:pPr>
          </w:p>
        </w:tc>
        <w:tc>
          <w:tcPr>
            <w:tcW w:w="1081" w:type="dxa"/>
            <w:tcBorders>
              <w:top w:val="single" w:color="000000" w:sz="4" w:space="0"/>
              <w:left w:val="single" w:color="000000" w:sz="4" w:space="0"/>
              <w:right w:val="single" w:color="000000" w:sz="4" w:space="0"/>
            </w:tcBorders>
            <w:noWrap w:val="0"/>
            <w:vAlign w:val="center"/>
          </w:tcPr>
          <w:p w14:paraId="37971D99">
            <w:pPr>
              <w:widowControl/>
              <w:spacing w:line="300" w:lineRule="exact"/>
              <w:jc w:val="center"/>
              <w:textAlignment w:val="center"/>
              <w:rPr>
                <w:rFonts w:ascii="宋体" w:hAnsi="宋体" w:eastAsia="宋体" w:cs="宋体"/>
                <w:color w:val="000000"/>
                <w:kern w:val="0"/>
                <w:sz w:val="24"/>
                <w:szCs w:val="24"/>
                <w:lang w:bidi="ar"/>
              </w:rPr>
            </w:pPr>
            <w:r>
              <w:rPr>
                <w:rFonts w:ascii="宋体" w:hAnsi="宋体" w:eastAsia="宋体" w:cs="宋体"/>
                <w:color w:val="000000"/>
                <w:kern w:val="0"/>
                <w:sz w:val="24"/>
                <w:szCs w:val="24"/>
                <w:lang w:bidi="ar"/>
              </w:rPr>
              <w:t>满意度</w:t>
            </w:r>
          </w:p>
          <w:p w14:paraId="09B72AC0">
            <w:pPr>
              <w:widowControl/>
              <w:spacing w:line="300" w:lineRule="exact"/>
              <w:jc w:val="center"/>
              <w:textAlignment w:val="center"/>
              <w:rPr>
                <w:rFonts w:ascii="宋体" w:hAnsi="宋体" w:eastAsia="宋体" w:cs="宋体"/>
                <w:color w:val="000000"/>
                <w:sz w:val="24"/>
                <w:szCs w:val="24"/>
              </w:rPr>
            </w:pPr>
            <w:r>
              <w:rPr>
                <w:rFonts w:ascii="宋体" w:hAnsi="宋体" w:eastAsia="宋体" w:cs="宋体"/>
                <w:color w:val="000000"/>
                <w:kern w:val="0"/>
                <w:sz w:val="24"/>
                <w:szCs w:val="24"/>
                <w:lang w:bidi="ar"/>
              </w:rPr>
              <w:t>指标</w:t>
            </w:r>
          </w:p>
        </w:tc>
        <w:tc>
          <w:tcPr>
            <w:tcW w:w="1250" w:type="dxa"/>
            <w:tcBorders>
              <w:top w:val="single" w:color="000000" w:sz="4" w:space="0"/>
              <w:left w:val="single" w:color="000000" w:sz="4" w:space="0"/>
              <w:right w:val="single" w:color="000000" w:sz="4" w:space="0"/>
            </w:tcBorders>
            <w:noWrap w:val="0"/>
            <w:vAlign w:val="center"/>
          </w:tcPr>
          <w:p w14:paraId="221ABD7B">
            <w:pPr>
              <w:widowControl/>
              <w:spacing w:line="300" w:lineRule="exact"/>
              <w:jc w:val="center"/>
              <w:textAlignment w:val="center"/>
              <w:rPr>
                <w:rFonts w:ascii="宋体" w:hAnsi="宋体" w:eastAsia="宋体" w:cs="宋体"/>
                <w:color w:val="000000"/>
                <w:kern w:val="0"/>
                <w:sz w:val="24"/>
                <w:szCs w:val="24"/>
                <w:lang w:bidi="ar"/>
              </w:rPr>
            </w:pPr>
            <w:r>
              <w:rPr>
                <w:rFonts w:ascii="宋体" w:hAnsi="宋体" w:eastAsia="宋体" w:cs="宋体"/>
                <w:color w:val="000000"/>
                <w:kern w:val="0"/>
                <w:sz w:val="24"/>
                <w:szCs w:val="24"/>
                <w:lang w:bidi="ar"/>
              </w:rPr>
              <w:t>服务对象</w:t>
            </w:r>
          </w:p>
          <w:p w14:paraId="7EAA8BB8">
            <w:pPr>
              <w:widowControl/>
              <w:spacing w:line="300" w:lineRule="exact"/>
              <w:jc w:val="center"/>
              <w:textAlignment w:val="center"/>
              <w:rPr>
                <w:rFonts w:ascii="宋体" w:hAnsi="宋体" w:eastAsia="宋体" w:cs="宋体"/>
                <w:color w:val="000000"/>
                <w:sz w:val="24"/>
                <w:szCs w:val="24"/>
              </w:rPr>
            </w:pPr>
            <w:r>
              <w:rPr>
                <w:rFonts w:ascii="宋体" w:hAnsi="宋体" w:eastAsia="宋体" w:cs="宋体"/>
                <w:color w:val="000000"/>
                <w:kern w:val="0"/>
                <w:sz w:val="24"/>
                <w:szCs w:val="24"/>
                <w:lang w:bidi="ar"/>
              </w:rPr>
              <w:t>满意度指标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7D702452">
            <w:pPr>
              <w:spacing w:line="300" w:lineRule="exact"/>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市民满意度</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5893C637">
            <w:pPr>
              <w:spacing w:line="30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27E51E7D">
            <w:pPr>
              <w:spacing w:line="300" w:lineRule="exact"/>
              <w:jc w:val="center"/>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rPr>
              <w:t>9</w:t>
            </w:r>
            <w:r>
              <w:rPr>
                <w:rFonts w:hint="eastAsia" w:ascii="宋体" w:hAnsi="宋体" w:eastAsia="宋体" w:cs="宋体"/>
                <w:color w:val="000000"/>
                <w:sz w:val="24"/>
                <w:szCs w:val="24"/>
                <w:lang w:val="en-US" w:eastAsia="zh-CN"/>
              </w:rPr>
              <w:t>5</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759A7B71">
            <w:pPr>
              <w:spacing w:line="30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29B1152A">
            <w:pPr>
              <w:spacing w:line="30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09AB46EF">
            <w:pPr>
              <w:spacing w:line="300" w:lineRule="exact"/>
              <w:jc w:val="center"/>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sz w:val="24"/>
                <w:szCs w:val="24"/>
              </w:rPr>
              <w:t>9</w:t>
            </w:r>
            <w:r>
              <w:rPr>
                <w:rFonts w:hint="eastAsia" w:ascii="宋体" w:hAnsi="宋体" w:eastAsia="宋体" w:cs="宋体"/>
                <w:color w:val="000000"/>
                <w:sz w:val="24"/>
                <w:szCs w:val="24"/>
                <w:lang w:val="en-US" w:eastAsia="zh-CN"/>
              </w:rPr>
              <w:t>5</w:t>
            </w:r>
          </w:p>
        </w:tc>
      </w:tr>
    </w:tbl>
    <w:p w14:paraId="68A01BB3">
      <w:pPr>
        <w:rPr>
          <w:rFonts w:ascii="仿宋_GB2312" w:hAnsi="仿宋_GB2312" w:cs="仿宋_GB2312"/>
          <w:kern w:val="0"/>
        </w:rPr>
      </w:pPr>
    </w:p>
    <w:p w14:paraId="1ECF9201">
      <w:pPr>
        <w:pStyle w:val="8"/>
        <w:spacing w:after="0" w:line="578" w:lineRule="exact"/>
        <w:ind w:leftChars="0" w:firstLine="0" w:firstLineChars="0"/>
        <w:rPr>
          <w:rFonts w:hint="eastAsia" w:ascii="黑体" w:hAnsi="黑体" w:eastAsia="黑体" w:cs="黑体"/>
          <w:sz w:val="24"/>
          <w:szCs w:val="24"/>
        </w:rPr>
      </w:pPr>
    </w:p>
    <w:p w14:paraId="403F040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黑体"/>
    <w:panose1 w:val="00000000000000000000"/>
    <w:charset w:val="86"/>
    <w:family w:val="auto"/>
    <w:pitch w:val="default"/>
    <w:sig w:usb0="00000000" w:usb1="0000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Wingdings 2">
    <w:altName w:val="Wingdings"/>
    <w:panose1 w:val="05020102010507070707"/>
    <w:charset w:val="02"/>
    <w:family w:val="roman"/>
    <w:pitch w:val="default"/>
    <w:sig w:usb0="00000000" w:usb1="00000000" w:usb2="00000000" w:usb3="00000000" w:csb0="8000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zNmEyOTFjMjZjODc0OGIyZjk3N2Q1Zjc3YWU5MjEifQ=="/>
  </w:docVars>
  <w:rsids>
    <w:rsidRoot w:val="004C22EC"/>
    <w:rsid w:val="004C22EC"/>
    <w:rsid w:val="007B38C6"/>
    <w:rsid w:val="100566B3"/>
    <w:rsid w:val="11FB76C4"/>
    <w:rsid w:val="136C2E95"/>
    <w:rsid w:val="1B4A3EC4"/>
    <w:rsid w:val="2439349C"/>
    <w:rsid w:val="244E01D1"/>
    <w:rsid w:val="33DA011B"/>
    <w:rsid w:val="358B1B11"/>
    <w:rsid w:val="423607D0"/>
    <w:rsid w:val="4A0B0DD8"/>
    <w:rsid w:val="55704B34"/>
    <w:rsid w:val="57B166CC"/>
    <w:rsid w:val="5DBC40E7"/>
    <w:rsid w:val="779912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14"/>
    <w:qFormat/>
    <w:uiPriority w:val="9"/>
    <w:pPr>
      <w:keepNext/>
      <w:keepLines/>
      <w:spacing w:before="340" w:after="330" w:line="578" w:lineRule="auto"/>
      <w:outlineLvl w:val="0"/>
    </w:pPr>
    <w:rPr>
      <w:b/>
      <w:bCs/>
      <w:kern w:val="44"/>
      <w:sz w:val="44"/>
      <w:szCs w:val="44"/>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styleId="4">
    <w:name w:val="Body Text"/>
    <w:basedOn w:val="1"/>
    <w:next w:val="1"/>
    <w:qFormat/>
    <w:uiPriority w:val="99"/>
    <w:pPr>
      <w:widowControl/>
      <w:tabs>
        <w:tab w:val="left" w:pos="2160"/>
      </w:tabs>
      <w:spacing w:line="480" w:lineRule="auto"/>
      <w:jc w:val="left"/>
    </w:pPr>
    <w:rPr>
      <w:rFonts w:ascii="楷体_GB2312" w:eastAsia="黑体"/>
      <w:kern w:val="0"/>
      <w:position w:val="3"/>
      <w:sz w:val="20"/>
      <w:szCs w:val="20"/>
      <w:lang w:eastAsia="en-US"/>
    </w:rPr>
  </w:style>
  <w:style w:type="paragraph" w:styleId="5">
    <w:name w:val="Body Text Indent"/>
    <w:basedOn w:val="1"/>
    <w:qFormat/>
    <w:uiPriority w:val="0"/>
    <w:pPr>
      <w:spacing w:after="120"/>
      <w:ind w:leftChars="200"/>
    </w:pPr>
    <w:rPr>
      <w:rFonts w:ascii="仿宋_GB2312"/>
      <w:szCs w:val="32"/>
    </w:rPr>
  </w:style>
  <w:style w:type="paragraph" w:styleId="6">
    <w:name w:val="footer"/>
    <w:basedOn w:val="1"/>
    <w:link w:val="13"/>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7">
    <w:name w:val="header"/>
    <w:basedOn w:val="1"/>
    <w:link w:val="12"/>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8">
    <w:name w:val="Body Text First Indent 2"/>
    <w:basedOn w:val="5"/>
    <w:unhideWhenUsed/>
    <w:qFormat/>
    <w:uiPriority w:val="99"/>
    <w:pPr>
      <w:ind w:firstLine="420" w:firstLineChars="200"/>
    </w:p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2">
    <w:name w:val="页眉 Char"/>
    <w:basedOn w:val="11"/>
    <w:link w:val="7"/>
    <w:semiHidden/>
    <w:qFormat/>
    <w:uiPriority w:val="99"/>
    <w:rPr>
      <w:sz w:val="18"/>
      <w:szCs w:val="18"/>
    </w:rPr>
  </w:style>
  <w:style w:type="character" w:customStyle="1" w:styleId="13">
    <w:name w:val="页脚 Char"/>
    <w:basedOn w:val="11"/>
    <w:link w:val="6"/>
    <w:semiHidden/>
    <w:uiPriority w:val="99"/>
    <w:rPr>
      <w:sz w:val="18"/>
      <w:szCs w:val="18"/>
    </w:rPr>
  </w:style>
  <w:style w:type="character" w:customStyle="1" w:styleId="14">
    <w:name w:val="标题 1 Char"/>
    <w:basedOn w:val="11"/>
    <w:link w:val="3"/>
    <w:qFormat/>
    <w:uiPriority w:val="9"/>
    <w:rPr>
      <w:rFonts w:ascii="Times New Roman" w:hAnsi="Times New Roman" w:eastAsia="宋体" w:cs="Times New Roman"/>
      <w:b/>
      <w:bCs/>
      <w:kern w:val="44"/>
      <w:sz w:val="44"/>
      <w:szCs w:val="4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14</Pages>
  <Words>6091</Words>
  <Characters>6225</Characters>
  <Lines>2</Lines>
  <Paragraphs>1</Paragraphs>
  <TotalTime>0</TotalTime>
  <ScaleCrop>false</ScaleCrop>
  <LinksUpToDate>false</LinksUpToDate>
  <CharactersWithSpaces>6252</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2019-08-19T01:06:00Z</dcterms:created>
  <dc:creator>Sky123.Org</dc:creator>
  <cp:lastModifiedBy>WPS_1604458475</cp:lastModifiedBy>
  <dcterms:modified xsi:type="dcterms:W3CDTF">2025-08-29T03:09:02Z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CD14128851FF4C64A5534974F19A36DC</vt:lpwstr>
  </property>
  <property fmtid="{D5CDD505-2E9C-101B-9397-08002B2CF9AE}" pid="4" name="KSOTemplateDocerSaveRecord">
    <vt:lpwstr>eyJoZGlkIjoiYmMxZWViYzY2OTBkMWNmMDZlNjI2NmUwYzQyZTk2ZTMiLCJ1c2VySWQiOiIxMTM5OTQ5NTAyIn0=</vt:lpwstr>
  </property>
</Properties>
</file>