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4296D">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黑水县城乡生活垃圾处理中心（垃圾填埋场、热解气化站）基础设施维护及能力提升</w:t>
      </w:r>
      <w:r>
        <w:rPr>
          <w:rFonts w:hint="eastAsia" w:ascii="仿宋_GB2312" w:hAnsi="黑体" w:eastAsia="仿宋_GB2312" w:cs="方正小标宋简体"/>
          <w:b/>
          <w:sz w:val="32"/>
          <w:szCs w:val="32"/>
        </w:rPr>
        <w:t>项目支出绩效评价报告</w:t>
      </w:r>
    </w:p>
    <w:p w14:paraId="03621978">
      <w:pPr>
        <w:spacing w:line="580" w:lineRule="exact"/>
        <w:ind w:firstLine="640" w:firstLineChars="200"/>
        <w:rPr>
          <w:rFonts w:ascii="仿宋_GB2312" w:hAnsi="仿宋_GB2312" w:eastAsia="仿宋_GB2312" w:cs="仿宋_GB2312"/>
          <w:sz w:val="32"/>
          <w:szCs w:val="32"/>
        </w:rPr>
      </w:pPr>
    </w:p>
    <w:p w14:paraId="19F9442B">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项目概况</w:t>
      </w:r>
    </w:p>
    <w:p w14:paraId="61708952">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5B21879E">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046087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随着黑水县城乡发展的加快，生活垃圾产生量逐年增加，原有的垃圾处理设施（如垃圾填埋场）可能已难以满足当前的垃圾处理需求。现有的热解气化站等先进处理设施，在长期运行过程中可能出现设备老化、技术落后等问题，影响处理效率和处理质量。</w:t>
      </w:r>
    </w:p>
    <w:p w14:paraId="1909FEEF">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254757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国家和地方对环境保护的要求日益严格，对生活垃圾处理的标准也在不断提高。原有的垃圾处理设施可能无法满足新的环保标准，需要进行升级改造</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加强城乡生活垃圾处理中心的基础设施维护及能力提升，有助于推动黑水县生态环境的改善，促进经济社会的可持续发展。</w:t>
      </w:r>
    </w:p>
    <w:p w14:paraId="7A66E79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378B4EC4">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环卫运行、垃圾收集运输处理运行维护、城市植被恢复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植被恢复</w:t>
      </w:r>
      <w:r>
        <w:rPr>
          <w:rFonts w:hint="eastAsia" w:ascii="仿宋_GB2312" w:hAnsi="仿宋_GB2312" w:eastAsia="仿宋_GB2312" w:cs="仿宋_GB2312"/>
          <w:kern w:val="0"/>
          <w:sz w:val="32"/>
          <w:szCs w:val="32"/>
          <w:lang w:eastAsia="zh-CN"/>
        </w:rPr>
        <w:t>采购金额为</w:t>
      </w:r>
      <w:r>
        <w:rPr>
          <w:rFonts w:hint="eastAsia" w:ascii="仿宋_GB2312" w:hAnsi="仿宋_GB2312" w:eastAsia="仿宋_GB2312" w:cs="仿宋_GB2312"/>
          <w:kern w:val="0"/>
          <w:sz w:val="32"/>
          <w:szCs w:val="32"/>
          <w:lang w:val="en-US" w:eastAsia="zh-CN"/>
        </w:rPr>
        <w:t>60</w:t>
      </w:r>
      <w:r>
        <w:rPr>
          <w:rFonts w:hint="eastAsia" w:ascii="仿宋_GB2312" w:hAnsi="仿宋_GB2312" w:eastAsia="仿宋_GB2312" w:cs="仿宋_GB2312"/>
          <w:kern w:val="0"/>
          <w:sz w:val="32"/>
          <w:szCs w:val="32"/>
        </w:rPr>
        <w:t>万</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主要用于新建泽盖村、查拉村、四美村等城乡接合部植被恢复建设；引进各种乔灌木，栽种乔木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灌木丛，</w:t>
      </w:r>
      <w:r>
        <w:rPr>
          <w:rFonts w:hint="eastAsia" w:ascii="仿宋_GB2312" w:hAnsi="仿宋_GB2312" w:eastAsia="仿宋_GB2312" w:cs="仿宋_GB2312"/>
          <w:kern w:val="0"/>
          <w:sz w:val="32"/>
          <w:szCs w:val="32"/>
          <w:lang w:eastAsia="zh-CN"/>
        </w:rPr>
        <w:t>种植</w:t>
      </w:r>
      <w:r>
        <w:rPr>
          <w:rFonts w:hint="eastAsia" w:ascii="仿宋_GB2312" w:hAnsi="仿宋_GB2312" w:eastAsia="仿宋_GB2312" w:cs="仿宋_GB2312"/>
          <w:kern w:val="0"/>
          <w:sz w:val="32"/>
          <w:szCs w:val="32"/>
        </w:rPr>
        <w:t>鲜花，播种草坪种子</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垃圾填埋场的日常维修维护工作和专用车辆燃油费为15万元：</w:t>
      </w:r>
      <w:r>
        <w:rPr>
          <w:rFonts w:hint="eastAsia" w:ascii="仿宋_GB2312" w:hAnsi="仿宋_GB2312" w:eastAsia="仿宋_GB2312" w:cs="仿宋_GB2312"/>
          <w:kern w:val="0"/>
          <w:sz w:val="32"/>
          <w:szCs w:val="32"/>
        </w:rPr>
        <w:t>设备油耗、维修维护费用</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垃圾填埋场消杀灭蝇、鼠、蚊虫药品采购等相关经费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垃圾填埋场覆盖用泥土购置</w:t>
      </w:r>
      <w:r>
        <w:rPr>
          <w:rFonts w:hint="eastAsia" w:ascii="仿宋_GB2312" w:hAnsi="仿宋_GB2312" w:eastAsia="仿宋_GB2312" w:cs="仿宋_GB2312"/>
          <w:kern w:val="0"/>
          <w:sz w:val="32"/>
          <w:szCs w:val="32"/>
          <w:lang w:eastAsia="zh-CN"/>
        </w:rPr>
        <w:t>费，</w:t>
      </w:r>
      <w:r>
        <w:rPr>
          <w:rFonts w:hint="eastAsia" w:ascii="仿宋_GB2312" w:hAnsi="仿宋_GB2312" w:eastAsia="仿宋_GB2312" w:cs="仿宋_GB2312"/>
          <w:kern w:val="0"/>
          <w:sz w:val="32"/>
          <w:szCs w:val="32"/>
        </w:rPr>
        <w:t>垃圾处理厂基础设施修建及维护</w:t>
      </w:r>
      <w:r>
        <w:rPr>
          <w:rFonts w:hint="eastAsia" w:ascii="仿宋_GB2312" w:hAnsi="仿宋_GB2312" w:eastAsia="仿宋_GB2312" w:cs="仿宋_GB2312"/>
          <w:kern w:val="0"/>
          <w:sz w:val="32"/>
          <w:szCs w:val="32"/>
          <w:lang w:eastAsia="zh-CN"/>
        </w:rPr>
        <w:t>费，</w:t>
      </w:r>
      <w:r>
        <w:rPr>
          <w:rFonts w:hint="eastAsia" w:ascii="仿宋_GB2312" w:hAnsi="仿宋_GB2312" w:eastAsia="仿宋_GB2312" w:cs="仿宋_GB2312"/>
          <w:kern w:val="0"/>
          <w:sz w:val="32"/>
          <w:szCs w:val="32"/>
        </w:rPr>
        <w:t>环保整改，标识标牌标准化建设场区集中整治杂草杂物垃圾清理及设备租赁费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整个场区春防工作相关经费</w:t>
      </w:r>
      <w:r>
        <w:rPr>
          <w:rFonts w:hint="eastAsia" w:ascii="仿宋_GB2312" w:hAnsi="仿宋_GB2312" w:eastAsia="仿宋_GB2312" w:cs="仿宋_GB2312"/>
          <w:kern w:val="0"/>
          <w:sz w:val="32"/>
          <w:szCs w:val="32"/>
          <w:lang w:eastAsia="zh-CN"/>
        </w:rPr>
        <w:t>。</w:t>
      </w:r>
    </w:p>
    <w:p w14:paraId="6A10ED89">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3D0A65F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70F98D12">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24A64337">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56549E8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7D4A3E5E">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3A237B82">
      <w:pPr>
        <w:spacing w:line="56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黑水县城乡生活垃圾处理中心（垃圾填埋场、热解气化站）基础设施维护及能力提升：包含环卫运行、垃圾收集运输处理运行维护、城市植被恢复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植被恢复</w:t>
      </w:r>
      <w:r>
        <w:rPr>
          <w:rFonts w:hint="eastAsia" w:ascii="仿宋_GB2312" w:hAnsi="仿宋_GB2312" w:eastAsia="仿宋_GB2312" w:cs="仿宋_GB2312"/>
          <w:kern w:val="0"/>
          <w:sz w:val="32"/>
          <w:szCs w:val="32"/>
          <w:lang w:eastAsia="zh-CN"/>
        </w:rPr>
        <w:t>采购金额为</w:t>
      </w:r>
      <w:r>
        <w:rPr>
          <w:rFonts w:hint="eastAsia" w:ascii="仿宋_GB2312" w:hAnsi="仿宋_GB2312" w:eastAsia="仿宋_GB2312" w:cs="仿宋_GB2312"/>
          <w:kern w:val="0"/>
          <w:sz w:val="32"/>
          <w:szCs w:val="32"/>
          <w:lang w:val="en-US" w:eastAsia="zh-CN"/>
        </w:rPr>
        <w:t>60</w:t>
      </w:r>
      <w:r>
        <w:rPr>
          <w:rFonts w:hint="eastAsia" w:ascii="仿宋_GB2312" w:hAnsi="仿宋_GB2312" w:eastAsia="仿宋_GB2312" w:cs="仿宋_GB2312"/>
          <w:kern w:val="0"/>
          <w:sz w:val="32"/>
          <w:szCs w:val="32"/>
        </w:rPr>
        <w:t>万</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主要用于新建泽盖村、查拉村、四美村等城乡接</w:t>
      </w:r>
      <w:bookmarkStart w:id="1" w:name="_GoBack"/>
      <w:r>
        <w:rPr>
          <w:rFonts w:hint="eastAsia" w:ascii="仿宋_GB2312" w:hAnsi="仿宋_GB2312" w:eastAsia="仿宋_GB2312" w:cs="仿宋_GB2312"/>
          <w:kern w:val="0"/>
          <w:sz w:val="32"/>
          <w:szCs w:val="32"/>
        </w:rPr>
        <w:t>合部</w:t>
      </w:r>
      <w:bookmarkEnd w:id="1"/>
      <w:r>
        <w:rPr>
          <w:rFonts w:hint="eastAsia" w:ascii="仿宋_GB2312" w:hAnsi="仿宋_GB2312" w:eastAsia="仿宋_GB2312" w:cs="仿宋_GB2312"/>
          <w:kern w:val="0"/>
          <w:sz w:val="32"/>
          <w:szCs w:val="32"/>
        </w:rPr>
        <w:t>植被恢复建设；引进各种乔灌木，栽种乔木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灌木丛，</w:t>
      </w:r>
      <w:r>
        <w:rPr>
          <w:rFonts w:hint="eastAsia" w:ascii="仿宋_GB2312" w:hAnsi="仿宋_GB2312" w:eastAsia="仿宋_GB2312" w:cs="仿宋_GB2312"/>
          <w:kern w:val="0"/>
          <w:sz w:val="32"/>
          <w:szCs w:val="32"/>
          <w:lang w:eastAsia="zh-CN"/>
        </w:rPr>
        <w:t>种植</w:t>
      </w:r>
      <w:r>
        <w:rPr>
          <w:rFonts w:hint="eastAsia" w:ascii="仿宋_GB2312" w:hAnsi="仿宋_GB2312" w:eastAsia="仿宋_GB2312" w:cs="仿宋_GB2312"/>
          <w:kern w:val="0"/>
          <w:sz w:val="32"/>
          <w:szCs w:val="32"/>
        </w:rPr>
        <w:t>鲜花，播种草坪种子</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垃圾填埋场的日常维修维护工作和专用车辆燃油费为15万元</w:t>
      </w:r>
      <w:r>
        <w:rPr>
          <w:rFonts w:hint="eastAsia" w:ascii="仿宋_GB2312" w:hAnsi="仿宋_GB2312" w:eastAsia="仿宋_GB2312" w:cs="仿宋_GB2312"/>
          <w:kern w:val="0"/>
          <w:sz w:val="32"/>
          <w:szCs w:val="32"/>
          <w:lang w:eastAsia="zh-CN"/>
        </w:rPr>
        <w:t>。</w:t>
      </w:r>
    </w:p>
    <w:p w14:paraId="657DB85D">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70CE2773">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w:t>
      </w:r>
      <w:r>
        <w:rPr>
          <w:rFonts w:hint="eastAsia" w:ascii="仿宋_GB2312" w:hAnsi="仿宋_GB2312" w:eastAsia="仿宋_GB2312" w:cs="仿宋_GB2312"/>
          <w:kern w:val="0"/>
          <w:sz w:val="32"/>
          <w:szCs w:val="32"/>
        </w:rPr>
        <w:t>黑水县城乡生活垃圾处理中心（垃圾填埋场、热解气化站）基础设施维护及能力提升</w:t>
      </w:r>
      <w:r>
        <w:rPr>
          <w:rFonts w:hint="eastAsia" w:ascii="仿宋_GB2312" w:hAnsi="仿宋_GB2312" w:eastAsia="仿宋_GB2312" w:cs="仿宋_GB2312"/>
          <w:kern w:val="0"/>
          <w:sz w:val="32"/>
          <w:szCs w:val="32"/>
          <w:lang w:eastAsia="zh-CN"/>
        </w:rPr>
        <w:t>项目</w:t>
      </w:r>
      <w:r>
        <w:rPr>
          <w:rFonts w:hint="eastAsia" w:ascii="仿宋_GB2312" w:hAnsi="仿宋_GB2312" w:eastAsia="仿宋_GB2312" w:cs="仿宋_GB2312"/>
          <w:kern w:val="0"/>
          <w:sz w:val="32"/>
          <w:szCs w:val="32"/>
          <w:lang w:val="en-US" w:eastAsia="zh-CN"/>
        </w:rPr>
        <w:t>所有开支。</w:t>
      </w:r>
    </w:p>
    <w:p w14:paraId="2F0A14FB">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57E01BFA">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2D72C8B3">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100万元，批复金额为90万元，实际使用金额75万元，项目资金符合资金管理办法等相关规定。资金按批复金额在项目实施前全部到位，与资金计划相契合，资金到位率、到位及时性均为100%，保障项目能够如期开展。</w:t>
      </w:r>
    </w:p>
    <w:p w14:paraId="262DAD72">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2DEFFD38">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3C4C170F">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09C0B0AF">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县级财政</w:t>
      </w:r>
      <w:r>
        <w:rPr>
          <w:rFonts w:hint="eastAsia" w:ascii="仿宋_GB2312" w:hAnsi="仿宋_GB2312" w:eastAsia="仿宋_GB2312" w:cs="仿宋_GB2312"/>
          <w:kern w:val="0"/>
          <w:sz w:val="32"/>
          <w:szCs w:val="32"/>
        </w:rPr>
        <w:t>专项资金，预算资金分配充分，资金分配额度合理，与项目单位实际相适应。</w:t>
      </w:r>
      <w:r>
        <w:rPr>
          <w:rFonts w:hint="eastAsia" w:ascii="仿宋_GB2312" w:hAnsi="仿宋_GB2312" w:eastAsia="仿宋_GB2312" w:cs="仿宋_GB2312"/>
          <w:kern w:val="0"/>
          <w:sz w:val="32"/>
          <w:szCs w:val="32"/>
          <w:lang w:val="en-US" w:eastAsia="zh-CN"/>
        </w:rPr>
        <w:t xml:space="preserve"> 目前项目资金已全部支出，支付范围为</w:t>
      </w:r>
      <w:r>
        <w:rPr>
          <w:rFonts w:hint="eastAsia" w:ascii="仿宋_GB2312" w:hAnsi="仿宋_GB2312" w:eastAsia="仿宋_GB2312" w:cs="仿宋_GB2312"/>
          <w:kern w:val="0"/>
          <w:sz w:val="32"/>
          <w:szCs w:val="32"/>
        </w:rPr>
        <w:t>包含环卫运行、垃圾收集运输处理运行维护、城市植被恢复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植被恢复</w:t>
      </w:r>
      <w:r>
        <w:rPr>
          <w:rFonts w:hint="eastAsia" w:ascii="仿宋_GB2312" w:hAnsi="仿宋_GB2312" w:eastAsia="仿宋_GB2312" w:cs="仿宋_GB2312"/>
          <w:kern w:val="0"/>
          <w:sz w:val="32"/>
          <w:szCs w:val="32"/>
          <w:lang w:eastAsia="zh-CN"/>
        </w:rPr>
        <w:t>采购</w:t>
      </w:r>
      <w:r>
        <w:rPr>
          <w:rFonts w:hint="eastAsia" w:ascii="仿宋_GB2312" w:hAnsi="仿宋_GB2312" w:eastAsia="仿宋_GB2312" w:cs="仿宋_GB2312"/>
          <w:kern w:val="0"/>
          <w:sz w:val="32"/>
          <w:szCs w:val="32"/>
          <w:lang w:val="en-US" w:eastAsia="zh-CN"/>
        </w:rPr>
        <w:t>，垃圾填埋场的日常维修维护工作和专用车辆燃油费，支付依据合规合法，与预算相符。</w:t>
      </w:r>
    </w:p>
    <w:p w14:paraId="7590107D">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73D11D59">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完善城市基础设施建设，能够保持城市环境, 保护人民身体健康, 把垃圾污染尽可能的降到最低限度,提高我县垃圾处理中心的工作效率和处置能力，为人民群众创造一个良好的生活工作环境, 从根本上实现生活垃圾的无害化处理, 使生活垃圾达到无害化、减量化、资源化的总目标。</w:t>
      </w:r>
    </w:p>
    <w:p w14:paraId="1629EAF1">
      <w:pPr>
        <w:adjustRightInd w:val="0"/>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14:paraId="72BFA423">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4F1A045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val="en-US" w:eastAsia="zh-CN"/>
        </w:rPr>
        <w:t>阿坝州财政局</w:t>
      </w:r>
      <w:r>
        <w:rPr>
          <w:rFonts w:hint="eastAsia" w:ascii="仿宋_GB2312" w:hAnsi="仿宋_GB2312" w:eastAsia="仿宋_GB2312" w:cs="仿宋_GB2312"/>
          <w:kern w:val="0"/>
          <w:sz w:val="32"/>
          <w:szCs w:val="32"/>
        </w:rPr>
        <w:t>印发《</w:t>
      </w:r>
      <w:r>
        <w:rPr>
          <w:rFonts w:hint="eastAsia" w:ascii="仿宋_GB2312" w:hAnsi="仿宋_GB2312" w:eastAsia="仿宋_GB2312" w:cs="仿宋_GB2312"/>
          <w:kern w:val="0"/>
          <w:sz w:val="32"/>
          <w:szCs w:val="32"/>
          <w:lang w:val="en-US" w:eastAsia="zh-CN"/>
        </w:rPr>
        <w:t>阿坝州财政局关于开展 2025年州级部门绩效自评工作的</w:t>
      </w:r>
      <w:r>
        <w:rPr>
          <w:rFonts w:hint="eastAsia" w:ascii="仿宋_GB2312" w:hAnsi="仿宋_GB2312" w:eastAsia="仿宋_GB2312" w:cs="仿宋_GB2312"/>
          <w:kern w:val="0"/>
          <w:sz w:val="32"/>
          <w:szCs w:val="32"/>
          <w:lang w:eastAsia="zh-CN"/>
        </w:rPr>
        <w:t>通知</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阿州财监绩〔2025〕4号</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w:t>
      </w:r>
      <w:r>
        <w:rPr>
          <w:rFonts w:hint="eastAsia" w:ascii="仿宋_GB2312" w:hAnsi="仿宋_GB2312" w:eastAsia="仿宋_GB2312" w:cs="仿宋_GB2312"/>
          <w:kern w:val="0"/>
          <w:sz w:val="32"/>
          <w:szCs w:val="32"/>
        </w:rPr>
        <w:t>按照</w:t>
      </w:r>
      <w:r>
        <w:rPr>
          <w:rFonts w:hint="eastAsia" w:ascii="仿宋_GB2312" w:hAnsi="仿宋_GB2312" w:eastAsia="仿宋_GB2312" w:cs="仿宋_GB2312"/>
          <w:kern w:val="0"/>
          <w:sz w:val="32"/>
          <w:szCs w:val="32"/>
          <w:lang w:eastAsia="zh-CN"/>
        </w:rPr>
        <w:t>州财政局</w:t>
      </w:r>
      <w:r>
        <w:rPr>
          <w:rFonts w:hint="eastAsia" w:ascii="仿宋_GB2312" w:hAnsi="仿宋_GB2312" w:eastAsia="仿宋_GB2312" w:cs="仿宋_GB2312"/>
          <w:kern w:val="0"/>
          <w:sz w:val="32"/>
          <w:szCs w:val="32"/>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3DA5A343">
      <w:pPr>
        <w:adjustRightInd w:val="0"/>
        <w:snapToGrid w:val="0"/>
        <w:spacing w:line="578"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1840CBB0">
      <w:pPr>
        <w:adjustRightInd w:val="0"/>
        <w:snapToGrid w:val="0"/>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6BDBB3E1">
      <w:pPr>
        <w:adjustRightInd w:val="0"/>
        <w:snapToGrid w:val="0"/>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73CBC17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黑水县城乡生活垃圾处理中心（垃圾填埋场、热解气化站）基础设施维护及能力提升项目</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val="en-US" w:eastAsia="zh-CN"/>
        </w:rPr>
        <w:t>黑水县</w:t>
      </w:r>
      <w:r>
        <w:rPr>
          <w:rFonts w:hint="eastAsia" w:ascii="仿宋_GB2312" w:hAnsi="仿宋_GB2312" w:eastAsia="仿宋_GB2312" w:cs="仿宋_GB2312"/>
          <w:kern w:val="0"/>
          <w:sz w:val="32"/>
          <w:szCs w:val="32"/>
          <w:lang w:eastAsia="zh-CN"/>
        </w:rPr>
        <w:t>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2D6E6E89">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4320EFB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146A313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22CFCE8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56A8258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393D5DF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33A569A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1E2DEDB4">
      <w:pPr>
        <w:spacing w:line="578"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66D788C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105FA47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32E3D9D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28AE120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6B9BB18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7E94AA2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08BE1EA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7222342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4E2D9FA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1DA4F38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5E44F93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7A2BB58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5E60450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1943E04A">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三、绩效分析</w:t>
      </w:r>
      <w:r>
        <w:rPr>
          <w:rFonts w:hint="eastAsia" w:ascii="仿宋_GB2312" w:hAnsi="仿宋_GB2312" w:eastAsia="仿宋_GB2312" w:cs="仿宋_GB2312"/>
          <w:sz w:val="32"/>
          <w:szCs w:val="32"/>
          <w:lang w:val="zh-CN"/>
        </w:rPr>
        <w:tab/>
      </w:r>
    </w:p>
    <w:p w14:paraId="60F07166">
      <w:pPr>
        <w:spacing w:line="578"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34B7C1A7">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35A398D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604B4BA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4EBCC3C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7DD2A19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14:paraId="06781E29">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621D888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w:t>
      </w:r>
      <w:r>
        <w:rPr>
          <w:rFonts w:hint="eastAsia" w:ascii="仿宋_GB2312" w:hAnsi="仿宋_GB2312" w:eastAsia="仿宋_GB2312" w:cs="仿宋_GB2312"/>
          <w:kern w:val="0"/>
          <w:sz w:val="32"/>
          <w:szCs w:val="32"/>
          <w:lang w:eastAsia="zh-CN"/>
        </w:rPr>
        <w:t>力量</w:t>
      </w:r>
      <w:r>
        <w:rPr>
          <w:rFonts w:hint="eastAsia" w:ascii="仿宋_GB2312" w:hAnsi="仿宋_GB2312" w:eastAsia="仿宋_GB2312" w:cs="仿宋_GB2312"/>
          <w:kern w:val="0"/>
          <w:sz w:val="32"/>
          <w:szCs w:val="32"/>
        </w:rPr>
        <w:t>办大事”原则，避免“撒胡椒面”，未与其他同类项目或部门内部相关项目交叉重复，该项指标得分6分。</w:t>
      </w:r>
    </w:p>
    <w:p w14:paraId="2E177B4A">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532521A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0A518F3A">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项目未制定</w:t>
      </w:r>
      <w:r>
        <w:rPr>
          <w:rFonts w:hint="eastAsia" w:ascii="仿宋_GB2312" w:hAnsi="仿宋_GB2312" w:eastAsia="仿宋_GB2312" w:cs="仿宋_GB2312"/>
          <w:kern w:val="0"/>
          <w:sz w:val="32"/>
          <w:szCs w:val="32"/>
        </w:rPr>
        <w:t>资金管理办法</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管理制度体系</w:t>
      </w:r>
      <w:r>
        <w:rPr>
          <w:rFonts w:hint="eastAsia" w:ascii="仿宋_GB2312" w:hAnsi="仿宋_GB2312" w:eastAsia="仿宋_GB2312" w:cs="仿宋_GB2312"/>
          <w:kern w:val="0"/>
          <w:sz w:val="32"/>
          <w:szCs w:val="32"/>
          <w:lang w:val="en-US" w:eastAsia="zh-CN"/>
        </w:rPr>
        <w:t>有所欠缺</w:t>
      </w:r>
      <w:r>
        <w:rPr>
          <w:rFonts w:hint="eastAsia" w:ascii="仿宋_GB2312" w:hAnsi="仿宋_GB2312" w:eastAsia="仿宋_GB2312" w:cs="仿宋_GB2312"/>
          <w:kern w:val="0"/>
          <w:sz w:val="32"/>
          <w:szCs w:val="32"/>
        </w:rPr>
        <w:t>，存在管理制度缺失、管理办法过期情况，该项指标得分</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00983BE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352AB1D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3F478A5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1B3C1C9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央、省委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159EDD15">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0651F71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4DD52D5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财政资金已按照要求拨付完毕，拨付率100%，该项指标得分=财政资金拨付率×100%×6=6分。</w:t>
      </w:r>
    </w:p>
    <w:p w14:paraId="18CA5C5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3E9C4CD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2077CE27">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259C764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09CAB4F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152FFAB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1BA54FE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11AEFCBC">
      <w:pPr>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4E3C26B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民生保障。</w:t>
      </w:r>
    </w:p>
    <w:p w14:paraId="612EFD4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资金分配科学合理、均衡公平，资金实际支持对象符合管理要求，符合支持对象范围，资金实际补贴标准符合资金管理办法规定的补助标准，及时按标准兑现，</w:t>
      </w:r>
      <w:r>
        <w:rPr>
          <w:rFonts w:hint="eastAsia" w:ascii="仿宋_GB2312" w:hAnsi="仿宋_GB2312" w:eastAsia="仿宋_GB2312" w:cs="仿宋_GB2312"/>
          <w:kern w:val="0"/>
          <w:sz w:val="32"/>
          <w:szCs w:val="32"/>
          <w:lang w:eastAsia="zh-CN"/>
        </w:rPr>
        <w:t>民众</w:t>
      </w:r>
      <w:r>
        <w:rPr>
          <w:rFonts w:hint="eastAsia" w:ascii="仿宋_GB2312" w:hAnsi="仿宋_GB2312" w:eastAsia="仿宋_GB2312" w:cs="仿宋_GB2312"/>
          <w:kern w:val="0"/>
          <w:sz w:val="32"/>
          <w:szCs w:val="32"/>
        </w:rPr>
        <w:t>满意度较高，该项指标得分30分。</w:t>
      </w:r>
    </w:p>
    <w:p w14:paraId="339D3279">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3995513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项目已如期建成，资金已按期拨付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3C805F49">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四、评价结论</w:t>
      </w:r>
    </w:p>
    <w:p w14:paraId="1136E0E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eastAsia="zh-CN"/>
        </w:rPr>
        <w:t>黑水县城乡生活垃圾处理中心（垃圾填埋场、热解气化站）基础设施维护及能力提升项目</w:t>
      </w:r>
      <w:r>
        <w:rPr>
          <w:rFonts w:hint="eastAsia" w:ascii="仿宋_GB2312" w:hAnsi="仿宋_GB2312" w:eastAsia="仿宋_GB2312" w:cs="仿宋_GB2312"/>
          <w:kern w:val="0"/>
          <w:sz w:val="32"/>
          <w:szCs w:val="32"/>
        </w:rPr>
        <w:t>支出绩效自评工作，经对各类指标进行评分和汇总分析，202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黑水县城乡生活垃圾处理中心（垃圾填埋场、热解气化站）基础设施维护及能力提升项目</w:t>
      </w:r>
      <w:r>
        <w:rPr>
          <w:rFonts w:hint="eastAsia" w:ascii="仿宋_GB2312" w:hAnsi="仿宋_GB2312" w:eastAsia="仿宋_GB2312" w:cs="仿宋_GB2312"/>
          <w:kern w:val="0"/>
          <w:sz w:val="32"/>
          <w:szCs w:val="32"/>
        </w:rPr>
        <w:t>支出绩效评价综合得分</w:t>
      </w:r>
      <w:r>
        <w:rPr>
          <w:rFonts w:hint="eastAsia" w:ascii="仿宋_GB2312" w:hAnsi="仿宋_GB2312" w:eastAsia="仿宋_GB2312" w:cs="仿宋_GB2312"/>
          <w:kern w:val="0"/>
          <w:sz w:val="32"/>
          <w:szCs w:val="32"/>
          <w:lang w:val="en-US" w:eastAsia="zh-CN"/>
        </w:rPr>
        <w:t>98</w:t>
      </w:r>
      <w:r>
        <w:rPr>
          <w:rFonts w:hint="eastAsia" w:ascii="仿宋_GB2312" w:hAnsi="仿宋_GB2312" w:eastAsia="仿宋_GB2312" w:cs="仿宋_GB2312"/>
          <w:kern w:val="0"/>
          <w:sz w:val="32"/>
          <w:szCs w:val="32"/>
        </w:rPr>
        <w:t>分。评价结果显示，202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黑水县城乡生活垃圾处理中心（垃圾填埋场、热解气化站）基础设施维护及能力提升项目</w:t>
      </w:r>
      <w:r>
        <w:rPr>
          <w:rFonts w:hint="eastAsia" w:ascii="仿宋_GB2312" w:hAnsi="仿宋_GB2312" w:eastAsia="仿宋_GB2312" w:cs="仿宋_GB2312"/>
          <w:kern w:val="0"/>
          <w:sz w:val="32"/>
          <w:szCs w:val="32"/>
        </w:rPr>
        <w:t>按照相关规定进行使用和管理，程序较为规范，项目支出使用效益达到预期。</w:t>
      </w:r>
    </w:p>
    <w:p w14:paraId="63F1D7BB">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五、存在主要问题</w:t>
      </w:r>
    </w:p>
    <w:p w14:paraId="15BB38EE">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项目管理相关制度待完善</w:t>
      </w:r>
    </w:p>
    <w:p w14:paraId="645DBEB8">
      <w:pPr>
        <w:adjustRightInd w:val="0"/>
        <w:snapToGrid w:val="0"/>
        <w:spacing w:line="578" w:lineRule="exact"/>
        <w:ind w:firstLine="640" w:firstLineChars="200"/>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en-US" w:eastAsia="zh-CN"/>
        </w:rPr>
        <w:t>项目管理制度不健全，不符合县财政局内部控制相关的要求。项目未提供相关项目管理制度，如项目管理等相关内控管理制度，无法考量项目管理制度是否符合上位法和项目实际、项目管理是否符合制度。</w:t>
      </w:r>
    </w:p>
    <w:p w14:paraId="794000A7">
      <w:pPr>
        <w:pStyle w:val="4"/>
        <w:spacing w:line="60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六、改进建议</w:t>
      </w:r>
    </w:p>
    <w:p w14:paraId="724C97D0">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bookmarkStart w:id="0" w:name="_Hlk110546638"/>
      <w:r>
        <w:rPr>
          <w:rFonts w:hint="eastAsia" w:ascii="仿宋_GB2312" w:hAnsi="仿宋_GB2312" w:eastAsia="仿宋_GB2312" w:cs="仿宋_GB2312"/>
          <w:kern w:val="0"/>
          <w:sz w:val="32"/>
          <w:szCs w:val="32"/>
          <w:lang w:val="en-US" w:eastAsia="zh-CN"/>
        </w:rPr>
        <w:t>完善相关项目管理制度</w:t>
      </w:r>
    </w:p>
    <w:p w14:paraId="36D6D4EC">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建议项目单位按照县财政局对内部控制的要求，加强项目管理相关的内控制度建设，对项目管理配套的内部管理相关制度进行完善，进一步提高项目管理的内部控制，为项目实施和完成提供保障。</w:t>
      </w:r>
    </w:p>
    <w:p w14:paraId="18A27F5C">
      <w:pPr>
        <w:tabs>
          <w:tab w:val="left" w:pos="1911"/>
        </w:tabs>
        <w:jc w:val="left"/>
        <w:rPr>
          <w:rFonts w:hint="eastAsia" w:ascii="仿宋_GB2312" w:hAnsi="仿宋_GB2312" w:eastAsia="仿宋_GB2312" w:cs="仿宋_GB2312"/>
          <w:kern w:val="0"/>
          <w:sz w:val="32"/>
          <w:szCs w:val="32"/>
          <w:lang w:val="en"/>
        </w:rPr>
      </w:pPr>
    </w:p>
    <w:bookmarkEnd w:id="0"/>
    <w:p w14:paraId="2EBAD5B6">
      <w:pPr>
        <w:snapToGrid w:val="0"/>
        <w:spacing w:line="578" w:lineRule="exact"/>
        <w:ind w:firstLine="640" w:firstLineChars="200"/>
        <w:rPr>
          <w:rFonts w:hint="eastAsia" w:ascii="仿宋_GB2312" w:hAnsi="仿宋_GB2312" w:eastAsia="仿宋_GB2312" w:cs="仿宋_GB2312"/>
          <w:color w:val="000000"/>
          <w:kern w:val="0"/>
          <w:sz w:val="32"/>
          <w:szCs w:val="32"/>
          <w:shd w:val="clear" w:color="auto" w:fill="FFFFFF"/>
          <w:lang w:val="zh-CN"/>
        </w:rPr>
      </w:pPr>
    </w:p>
    <w:p w14:paraId="3E527B0C">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14:paraId="5E81222A">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2.专项预算绩效自评实地踏勘点位清单表</w:t>
      </w:r>
    </w:p>
    <w:p w14:paraId="3AED3EFB">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3.专项预算项目绩效目标完成情况自评表</w:t>
      </w:r>
    </w:p>
    <w:p w14:paraId="6DAF1A9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7A67CB1A">
      <w:pPr>
        <w:snapToGrid w:val="0"/>
        <w:spacing w:line="578" w:lineRule="exact"/>
        <w:rPr>
          <w:rFonts w:hint="eastAsia" w:ascii="仿宋_GB2312" w:hAnsi="仿宋_GB2312" w:cs="仿宋_GB2312"/>
          <w:kern w:val="0"/>
          <w:lang w:val="zh-CN"/>
        </w:rPr>
      </w:pPr>
    </w:p>
    <w:p w14:paraId="00553CCF">
      <w:pPr>
        <w:snapToGrid w:val="0"/>
        <w:spacing w:line="578" w:lineRule="exact"/>
        <w:rPr>
          <w:rFonts w:hint="eastAsia" w:ascii="仿宋_GB2312" w:hAnsi="仿宋_GB2312" w:cs="仿宋_GB2312"/>
          <w:kern w:val="0"/>
          <w:lang w:val="zh-CN"/>
        </w:rPr>
      </w:pPr>
    </w:p>
    <w:p w14:paraId="53F88A7C">
      <w:pPr>
        <w:pStyle w:val="2"/>
        <w:rPr>
          <w:rFonts w:hint="eastAsia" w:ascii="仿宋_GB2312" w:hAnsi="仿宋_GB2312" w:cs="仿宋_GB2312"/>
          <w:kern w:val="0"/>
          <w:lang w:val="zh-CN"/>
        </w:rPr>
      </w:pPr>
    </w:p>
    <w:p w14:paraId="5B63354F">
      <w:pPr>
        <w:rPr>
          <w:rFonts w:hint="eastAsia" w:ascii="仿宋_GB2312" w:hAnsi="仿宋_GB2312" w:cs="仿宋_GB2312"/>
          <w:kern w:val="0"/>
          <w:lang w:val="zh-CN"/>
        </w:rPr>
      </w:pPr>
    </w:p>
    <w:p w14:paraId="27514868">
      <w:pPr>
        <w:pStyle w:val="2"/>
        <w:rPr>
          <w:rFonts w:hint="eastAsia" w:ascii="仿宋_GB2312" w:hAnsi="仿宋_GB2312" w:cs="仿宋_GB2312"/>
          <w:kern w:val="0"/>
          <w:lang w:val="zh-CN"/>
        </w:rPr>
      </w:pPr>
    </w:p>
    <w:p w14:paraId="2AA2D980">
      <w:pPr>
        <w:rPr>
          <w:rFonts w:hint="eastAsia" w:ascii="仿宋_GB2312" w:hAnsi="仿宋_GB2312" w:cs="仿宋_GB2312"/>
          <w:kern w:val="0"/>
          <w:lang w:val="zh-CN"/>
        </w:rPr>
      </w:pPr>
    </w:p>
    <w:p w14:paraId="1EC7D8C6">
      <w:pPr>
        <w:pStyle w:val="2"/>
        <w:rPr>
          <w:rFonts w:hint="eastAsia"/>
          <w:lang w:val="zh-CN"/>
        </w:rPr>
      </w:pPr>
    </w:p>
    <w:p w14:paraId="1480A304">
      <w:pPr>
        <w:snapToGrid w:val="0"/>
        <w:spacing w:line="578" w:lineRule="exact"/>
        <w:rPr>
          <w:rFonts w:hint="eastAsia" w:ascii="仿宋_GB2312" w:hAnsi="仿宋_GB2312" w:cs="仿宋_GB2312"/>
          <w:kern w:val="0"/>
          <w:lang w:val="zh-CN"/>
        </w:rPr>
      </w:pPr>
    </w:p>
    <w:p w14:paraId="452D76F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C32C5EC">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66"/>
        <w:gridCol w:w="1188"/>
        <w:gridCol w:w="712"/>
        <w:gridCol w:w="5550"/>
        <w:gridCol w:w="732"/>
        <w:gridCol w:w="468"/>
      </w:tblGrid>
      <w:tr w14:paraId="51B2B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4151" w:type="dxa"/>
            <w:gridSpan w:val="5"/>
            <w:tcBorders>
              <w:top w:val="single" w:color="000000" w:sz="4" w:space="0"/>
              <w:left w:val="single" w:color="000000" w:sz="4" w:space="0"/>
              <w:bottom w:val="nil"/>
              <w:right w:val="nil"/>
            </w:tcBorders>
            <w:noWrap w:val="0"/>
            <w:vAlign w:val="center"/>
          </w:tcPr>
          <w:p w14:paraId="0A6E33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99D7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15BB08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4233C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7F1D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3110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31" w:type="dxa"/>
            <w:gridSpan w:val="2"/>
            <w:tcBorders>
              <w:top w:val="single" w:color="000000" w:sz="4" w:space="0"/>
              <w:left w:val="single" w:color="000000" w:sz="4" w:space="0"/>
              <w:bottom w:val="single" w:color="000000" w:sz="4" w:space="0"/>
              <w:right w:val="single" w:color="000000" w:sz="4" w:space="0"/>
            </w:tcBorders>
            <w:noWrap w:val="0"/>
            <w:vAlign w:val="center"/>
          </w:tcPr>
          <w:p w14:paraId="59D2DB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C0B2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2187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1CC08">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61C0D9B5">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10487B58">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7B870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914F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B20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357A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634E8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CC686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8E6F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609A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8237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722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725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7669A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9EBCB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17692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项目规划论证是否符合中央、省委要求，项目绩效目标设置是否科学合理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3206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F4E97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CE9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06B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55D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2F35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9FEC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9C204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A5C3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DDCD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A93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050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7E53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B8AEF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C43F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D7F75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144D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D9C2C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00E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0B6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9D5B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004B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59E0E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F6DAD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35244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12903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5EED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13F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1D4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3FA45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9B8E0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E1526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E69B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B3D6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56C9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B3D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B411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17E2D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CF0E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13A39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64FE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15A25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A56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BBC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CCC3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0C2BF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B4C3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23481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4433E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6990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1A30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7EB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15C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8D84F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DC42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076DF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1252A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EDAF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662D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26B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B719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1A8CE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B060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A2E0E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C402F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8E73F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92AF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4B9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A7C1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2CA6A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B76F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C9D8E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6053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9B03F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94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B9D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9C95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10548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F0A30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F5C3A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A0DE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38CC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42C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555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DECD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E73A1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9E534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F658C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29617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35D5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A0A9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58B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4BF4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307C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11E25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83FD1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6689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6610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0990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58F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DCF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FBC8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427A3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6DC89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B1B5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F8AED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C731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67D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BBA5A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4CA55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49301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D175A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4BA28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59E60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5C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7F7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3829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E13A0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4704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32B27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916B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E1E7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DFED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3C3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387FE0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CF1D8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5907D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4EE73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7C461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6DF31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582CA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3F0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8A5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91F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0A1F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4B3C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9089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662E8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790F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2CC97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DC23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DD63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84A5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34E14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BDC6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2B805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0DB67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AEDC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7DA5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E7E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068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84A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FBB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AEA4B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7848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62682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7ADB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9EAA3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8CAD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6DA2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835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00E2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4993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DBCE8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7E318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F810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AEBC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C4A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76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1ED7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nil"/>
              <w:left w:val="single" w:color="000000" w:sz="4" w:space="0"/>
              <w:bottom w:val="single" w:color="000000" w:sz="4" w:space="0"/>
              <w:right w:val="single" w:color="000000" w:sz="4" w:space="0"/>
            </w:tcBorders>
            <w:noWrap w:val="0"/>
            <w:vAlign w:val="center"/>
          </w:tcPr>
          <w:p w14:paraId="047523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12" w:type="dxa"/>
            <w:tcBorders>
              <w:top w:val="nil"/>
              <w:left w:val="single" w:color="000000" w:sz="4" w:space="0"/>
              <w:bottom w:val="single" w:color="000000" w:sz="4" w:space="0"/>
              <w:right w:val="single" w:color="000000" w:sz="4" w:space="0"/>
            </w:tcBorders>
            <w:noWrap w:val="0"/>
            <w:vAlign w:val="center"/>
          </w:tcPr>
          <w:p w14:paraId="152D8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nil"/>
              <w:left w:val="single" w:color="000000" w:sz="4" w:space="0"/>
              <w:bottom w:val="single" w:color="000000" w:sz="4" w:space="0"/>
              <w:right w:val="single" w:color="000000" w:sz="4" w:space="0"/>
            </w:tcBorders>
            <w:noWrap w:val="0"/>
            <w:vAlign w:val="center"/>
          </w:tcPr>
          <w:p w14:paraId="6CBA7A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4F0867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464818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08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495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8A46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04FB8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12" w:type="dxa"/>
            <w:tcBorders>
              <w:top w:val="nil"/>
              <w:left w:val="single" w:color="000000" w:sz="4" w:space="0"/>
              <w:bottom w:val="single" w:color="000000" w:sz="4" w:space="0"/>
              <w:right w:val="single" w:color="000000" w:sz="4" w:space="0"/>
            </w:tcBorders>
            <w:noWrap w:val="0"/>
            <w:vAlign w:val="center"/>
          </w:tcPr>
          <w:p w14:paraId="60B1A5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B6BB1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1CB2D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7DF0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EF9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F3D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0C9D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426A4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12" w:type="dxa"/>
            <w:tcBorders>
              <w:top w:val="nil"/>
              <w:left w:val="single" w:color="000000" w:sz="4" w:space="0"/>
              <w:bottom w:val="single" w:color="000000" w:sz="4" w:space="0"/>
              <w:right w:val="single" w:color="000000" w:sz="4" w:space="0"/>
            </w:tcBorders>
            <w:noWrap w:val="0"/>
            <w:vAlign w:val="center"/>
          </w:tcPr>
          <w:p w14:paraId="19FC8E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AC8AA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8A22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61C4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95BC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A421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7754C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FC879E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E0A5BD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项目是否如期完成。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6AC5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083E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9A4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012E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88230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AFB53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0F0D66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资金是否按期拨付。</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0E0B00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726DE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2A1F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44BD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2CCCF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项目效果</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B26BE8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64B366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项目实施后是否达到预期效果。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18D0C0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26000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2EE0D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tcBorders>
              <w:top w:val="single" w:color="000000" w:sz="4" w:space="0"/>
              <w:left w:val="single" w:color="000000" w:sz="4" w:space="0"/>
              <w:bottom w:val="single" w:color="000000" w:sz="4" w:space="0"/>
              <w:right w:val="single" w:color="000000" w:sz="4" w:space="0"/>
            </w:tcBorders>
            <w:noWrap w:val="0"/>
            <w:vAlign w:val="center"/>
          </w:tcPr>
          <w:p w14:paraId="547072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FAA9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CE77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4835F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1D0CA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C3FC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4FBE5244">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3E9B44E8">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1BE77179">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52B4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4EADDC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34ED255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010F4D7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628A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0F7AD8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7C3F753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黑水县市政公用服务中心</w:t>
            </w:r>
          </w:p>
        </w:tc>
        <w:tc>
          <w:tcPr>
            <w:tcW w:w="905" w:type="dxa"/>
            <w:noWrap w:val="0"/>
            <w:vAlign w:val="top"/>
          </w:tcPr>
          <w:p w14:paraId="6AD92E2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B98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34C5EC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0D80E5A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D07A4B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816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6608D3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5A5B20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4A241F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1C0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D9678D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53FC597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174908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4C6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E63E9F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5676DE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48BCB2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8F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074D76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53C5CDC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DD22A9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564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A899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74AA672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B5BA2A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820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80CCC4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278C03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268BB1F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9D5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E038E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5CDF35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4FEDEA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52C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0CA410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6FEE625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3F0687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3D3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0AA364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4FC0AA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0F8260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EEA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DD6E5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43B0899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F070D5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442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AC0DB3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67AE47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5E0464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F3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70BB1C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23225F9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22FFAB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D40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90371C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2B6A26D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149B8C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422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E16225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3E500D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804849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537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26FED1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1072DD3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5BF308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9D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3076F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6A57750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CA7257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C8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3A1874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12FBDA0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14BFB8D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1D0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C36A47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40D62B1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0AB102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67EA1A2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4D12874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222F35C2">
      <w:pPr>
        <w:rPr>
          <w:rFonts w:hint="eastAsia" w:ascii="仿宋_GB2312" w:hAnsi="仿宋_GB2312" w:eastAsia="仿宋_GB2312" w:cs="仿宋_GB2312"/>
          <w:kern w:val="0"/>
          <w:lang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仿宋_GB2312" w:hAnsi="仿宋_GB2312" w:cs="仿宋_GB2312"/>
          <w:kern w:val="0"/>
        </w:rPr>
        <w:t>附表</w:t>
      </w:r>
      <w:r>
        <w:rPr>
          <w:rFonts w:hint="eastAsia" w:ascii="仿宋_GB2312" w:hAnsi="仿宋_GB2312" w:cs="仿宋_GB2312"/>
          <w:kern w:val="0"/>
          <w:lang w:val="en-US" w:eastAsia="zh-CN"/>
        </w:rPr>
        <w:t>3</w:t>
      </w:r>
    </w:p>
    <w:tbl>
      <w:tblPr>
        <w:tblStyle w:val="9"/>
        <w:tblW w:w="10233" w:type="dxa"/>
        <w:jc w:val="center"/>
        <w:tblLayout w:type="fixed"/>
        <w:tblCellMar>
          <w:top w:w="15" w:type="dxa"/>
          <w:left w:w="15" w:type="dxa"/>
          <w:bottom w:w="15" w:type="dxa"/>
          <w:right w:w="15" w:type="dxa"/>
        </w:tblCellMar>
      </w:tblPr>
      <w:tblGrid>
        <w:gridCol w:w="652"/>
        <w:gridCol w:w="1081"/>
        <w:gridCol w:w="697"/>
        <w:gridCol w:w="2000"/>
        <w:gridCol w:w="992"/>
        <w:gridCol w:w="971"/>
        <w:gridCol w:w="1061"/>
        <w:gridCol w:w="938"/>
        <w:gridCol w:w="1841"/>
      </w:tblGrid>
      <w:tr w14:paraId="7BDD1F74">
        <w:tblPrEx>
          <w:tblCellMar>
            <w:top w:w="15" w:type="dxa"/>
            <w:left w:w="15" w:type="dxa"/>
            <w:bottom w:w="15" w:type="dxa"/>
            <w:right w:w="15" w:type="dxa"/>
          </w:tblCellMar>
        </w:tblPrEx>
        <w:trPr>
          <w:trHeight w:val="576" w:hRule="atLeast"/>
          <w:jc w:val="center"/>
        </w:trPr>
        <w:tc>
          <w:tcPr>
            <w:tcW w:w="10233" w:type="dxa"/>
            <w:gridSpan w:val="9"/>
            <w:noWrap w:val="0"/>
            <w:vAlign w:val="center"/>
          </w:tcPr>
          <w:p w14:paraId="39768205">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lang w:bidi="ar"/>
              </w:rPr>
              <w:t>专项预算项目绩效目标完成情况自评表</w:t>
            </w:r>
          </w:p>
        </w:tc>
      </w:tr>
      <w:tr w14:paraId="0E0034C5">
        <w:tblPrEx>
          <w:tblCellMar>
            <w:top w:w="15" w:type="dxa"/>
            <w:left w:w="15" w:type="dxa"/>
            <w:bottom w:w="15" w:type="dxa"/>
            <w:right w:w="15" w:type="dxa"/>
          </w:tblCellMar>
        </w:tblPrEx>
        <w:trPr>
          <w:trHeight w:val="23" w:hRule="atLeast"/>
          <w:jc w:val="center"/>
        </w:trPr>
        <w:tc>
          <w:tcPr>
            <w:tcW w:w="4430" w:type="dxa"/>
            <w:gridSpan w:val="4"/>
            <w:tcBorders>
              <w:top w:val="single" w:color="000000" w:sz="4" w:space="0"/>
              <w:left w:val="single" w:color="000000" w:sz="4" w:space="0"/>
              <w:bottom w:val="single" w:color="000000" w:sz="4" w:space="0"/>
              <w:right w:val="single" w:color="000000" w:sz="4" w:space="0"/>
            </w:tcBorders>
            <w:noWrap w:val="0"/>
            <w:vAlign w:val="center"/>
          </w:tcPr>
          <w:p w14:paraId="2AC292BD">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项目名称</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58A36F17">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eastAsia="zh-CN" w:bidi="ar"/>
              </w:rPr>
              <w:t>黑水县城乡生活垃圾处理中心（垃圾填埋场、热解气化站）基础设施维护及能力提升项目</w:t>
            </w:r>
          </w:p>
        </w:tc>
      </w:tr>
      <w:tr w14:paraId="146F8841">
        <w:tblPrEx>
          <w:tblCellMar>
            <w:top w:w="15" w:type="dxa"/>
            <w:left w:w="15" w:type="dxa"/>
            <w:bottom w:w="15" w:type="dxa"/>
            <w:right w:w="15" w:type="dxa"/>
          </w:tblCellMar>
        </w:tblPrEx>
        <w:trPr>
          <w:trHeight w:val="23" w:hRule="atLeast"/>
          <w:jc w:val="center"/>
        </w:trPr>
        <w:tc>
          <w:tcPr>
            <w:tcW w:w="4430" w:type="dxa"/>
            <w:gridSpan w:val="4"/>
            <w:tcBorders>
              <w:top w:val="single" w:color="000000" w:sz="4" w:space="0"/>
              <w:left w:val="single" w:color="000000" w:sz="4" w:space="0"/>
              <w:bottom w:val="single" w:color="000000" w:sz="4" w:space="0"/>
              <w:right w:val="single" w:color="000000" w:sz="4" w:space="0"/>
            </w:tcBorders>
            <w:noWrap w:val="0"/>
            <w:vAlign w:val="center"/>
          </w:tcPr>
          <w:p w14:paraId="3C9293C7">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预算单位</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4389AEED">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黑水县市政公用服务中心</w:t>
            </w:r>
          </w:p>
        </w:tc>
      </w:tr>
      <w:tr w14:paraId="3242C786">
        <w:tblPrEx>
          <w:tblCellMar>
            <w:top w:w="15" w:type="dxa"/>
            <w:left w:w="15" w:type="dxa"/>
            <w:bottom w:w="15" w:type="dxa"/>
            <w:right w:w="15" w:type="dxa"/>
          </w:tblCellMar>
        </w:tblPrEx>
        <w:trPr>
          <w:trHeight w:val="23" w:hRule="atLeast"/>
          <w:jc w:val="center"/>
        </w:trPr>
        <w:tc>
          <w:tcPr>
            <w:tcW w:w="4430" w:type="dxa"/>
            <w:gridSpan w:val="4"/>
            <w:tcBorders>
              <w:top w:val="single" w:color="000000" w:sz="4" w:space="0"/>
              <w:left w:val="single" w:color="000000" w:sz="4" w:space="0"/>
              <w:bottom w:val="single" w:color="000000" w:sz="4" w:space="0"/>
              <w:right w:val="single" w:color="000000" w:sz="4" w:space="0"/>
            </w:tcBorders>
            <w:noWrap w:val="0"/>
            <w:vAlign w:val="center"/>
          </w:tcPr>
          <w:p w14:paraId="03B0CD59">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项目类型</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0016A32D">
            <w:pPr>
              <w:widowControl/>
              <w:spacing w:line="300" w:lineRule="exact"/>
              <w:jc w:val="left"/>
              <w:textAlignment w:val="center"/>
              <w:rPr>
                <w:rFonts w:hint="eastAsia" w:eastAsia="仿宋_GB2312"/>
                <w:szCs w:val="28"/>
                <w:lang w:eastAsia="zh-CN"/>
              </w:rPr>
            </w:pPr>
            <w:r>
              <w:rPr>
                <w:rFonts w:hint="eastAsia" w:ascii="宋体" w:hAnsi="宋体" w:eastAsia="宋体" w:cs="宋体"/>
                <w:color w:val="000000"/>
                <w:kern w:val="0"/>
                <w:sz w:val="24"/>
                <w:szCs w:val="24"/>
                <w:lang w:eastAsia="zh-CN" w:bidi="ar"/>
              </w:rPr>
              <w:t>经常性项目</w:t>
            </w:r>
          </w:p>
        </w:tc>
      </w:tr>
      <w:tr w14:paraId="20050D3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6C13A3">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 概况</w:t>
            </w: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7FC5B24A">
            <w:pPr>
              <w:widowControl/>
              <w:spacing w:line="300" w:lineRule="exact"/>
              <w:jc w:val="left"/>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中长期规划（名称、文号，仅指</w:t>
            </w:r>
          </w:p>
          <w:p w14:paraId="16BE7282">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常年项目）</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2CFF1136">
            <w:pPr>
              <w:spacing w:line="3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无</w:t>
            </w:r>
          </w:p>
        </w:tc>
      </w:tr>
      <w:tr w14:paraId="45074B7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64C2D">
            <w:pPr>
              <w:spacing w:line="300" w:lineRule="exact"/>
              <w:rPr>
                <w:rFonts w:hint="eastAsia" w:ascii="宋体" w:hAnsi="宋体" w:eastAsia="宋体" w:cs="宋体"/>
                <w:color w:val="000000"/>
                <w:sz w:val="24"/>
                <w:szCs w:val="24"/>
              </w:rPr>
            </w:pP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18D606F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资金管理办法（名称、文号）</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31C3F04F">
            <w:pPr>
              <w:spacing w:line="30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无</w:t>
            </w:r>
          </w:p>
        </w:tc>
      </w:tr>
      <w:tr w14:paraId="612EC41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6162E">
            <w:pPr>
              <w:spacing w:line="300" w:lineRule="exact"/>
              <w:rPr>
                <w:rFonts w:hint="eastAsia" w:ascii="宋体" w:hAnsi="宋体" w:eastAsia="宋体" w:cs="宋体"/>
                <w:color w:val="000000"/>
                <w:sz w:val="24"/>
                <w:szCs w:val="24"/>
              </w:rPr>
            </w:pP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14D2D015">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绩效分配方式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2E39BB3">
            <w:pPr>
              <w:widowControl/>
              <w:spacing w:line="300" w:lineRule="exact"/>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59CAA20">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680AE10">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F541D13">
            <w:pPr>
              <w:widowControl/>
              <w:spacing w:line="300" w:lineRule="exact"/>
              <w:jc w:val="center"/>
              <w:textAlignment w:val="center"/>
              <w:rPr>
                <w:rFonts w:ascii="Wingdings 2" w:hAnsi="Wingdings 2" w:eastAsia="Wingdings 2" w:cs="Wingdings 2"/>
                <w:color w:val="000000"/>
                <w:sz w:val="24"/>
                <w:szCs w:val="24"/>
              </w:rPr>
            </w:pPr>
            <w:r>
              <w:rPr>
                <w:rFonts w:hint="default" w:ascii="Arial" w:hAnsi="Arial" w:eastAsia="宋体" w:cs="Arial"/>
                <w:color w:val="000000"/>
                <w:kern w:val="0"/>
                <w:sz w:val="24"/>
                <w:szCs w:val="24"/>
                <w:lang w:bidi="ar"/>
              </w:rPr>
              <w:t>√</w:t>
            </w:r>
            <w:r>
              <w:rPr>
                <w:rFonts w:ascii="宋体" w:hAnsi="宋体" w:eastAsia="宋体" w:cs="宋体"/>
                <w:color w:val="000000"/>
                <w:kern w:val="0"/>
                <w:sz w:val="24"/>
                <w:szCs w:val="24"/>
                <w:lang w:bidi="ar"/>
              </w:rPr>
              <w:t>因素法与项目法相结合</w:t>
            </w:r>
          </w:p>
        </w:tc>
      </w:tr>
      <w:tr w14:paraId="165139E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7E667">
            <w:pPr>
              <w:spacing w:line="300" w:lineRule="exact"/>
              <w:rPr>
                <w:rFonts w:hint="eastAsia" w:ascii="宋体" w:hAnsi="宋体" w:eastAsia="宋体" w:cs="宋体"/>
                <w:color w:val="000000"/>
                <w:sz w:val="24"/>
                <w:szCs w:val="24"/>
              </w:rPr>
            </w:pP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06994171">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立项依据</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5899D18C">
            <w:pPr>
              <w:widowControl/>
              <w:spacing w:line="300" w:lineRule="exact"/>
              <w:jc w:val="left"/>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bidi="ar"/>
              </w:rPr>
              <w:t>国家和地方对环境保护的要求日益严格，对生活垃圾处理的标准也在不断提高。原有的垃圾处理设施可能无法满足新的环保标准，需要进行升级改造</w:t>
            </w:r>
            <w:r>
              <w:rPr>
                <w:rFonts w:hint="eastAsia" w:ascii="宋体" w:hAnsi="宋体" w:eastAsia="宋体" w:cs="宋体"/>
                <w:color w:val="000000"/>
                <w:kern w:val="0"/>
                <w:sz w:val="24"/>
                <w:szCs w:val="24"/>
                <w:lang w:eastAsia="zh-CN" w:bidi="ar"/>
              </w:rPr>
              <w:t>，</w:t>
            </w:r>
            <w:r>
              <w:rPr>
                <w:rFonts w:hint="default" w:ascii="宋体" w:hAnsi="宋体" w:eastAsia="宋体" w:cs="宋体"/>
                <w:color w:val="000000"/>
                <w:kern w:val="0"/>
                <w:sz w:val="24"/>
                <w:szCs w:val="24"/>
                <w:lang w:bidi="ar"/>
              </w:rPr>
              <w:t>加强城乡生活垃圾处理中心的基础设施维护及能力提升，有助于推动黑水县生态环境的改善，促进经济社会的可持续发展。</w:t>
            </w:r>
          </w:p>
        </w:tc>
      </w:tr>
      <w:tr w14:paraId="3ADE489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E941B">
            <w:pPr>
              <w:spacing w:line="300" w:lineRule="exact"/>
              <w:rPr>
                <w:rFonts w:hint="eastAsia" w:ascii="宋体" w:hAnsi="宋体" w:eastAsia="宋体" w:cs="宋体"/>
                <w:color w:val="000000"/>
                <w:sz w:val="24"/>
                <w:szCs w:val="24"/>
              </w:rPr>
            </w:pP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4DBD47BD">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使用范围</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73ED9AF1">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val="en-US" w:eastAsia="zh-CN" w:bidi="ar"/>
              </w:rPr>
              <w:t>该项目资金主要用于</w:t>
            </w:r>
            <w:r>
              <w:rPr>
                <w:rFonts w:hint="eastAsia" w:ascii="宋体" w:hAnsi="宋体" w:eastAsia="宋体" w:cs="宋体"/>
                <w:color w:val="000000"/>
                <w:kern w:val="0"/>
                <w:sz w:val="24"/>
                <w:szCs w:val="24"/>
                <w:lang w:bidi="ar"/>
              </w:rPr>
              <w:t>黑水县城乡生活垃圾处理中心（垃圾填埋场、热解气化站）基础设施维护及能力提升</w:t>
            </w:r>
            <w:r>
              <w:rPr>
                <w:rFonts w:hint="eastAsia" w:ascii="宋体" w:hAnsi="宋体" w:eastAsia="宋体" w:cs="宋体"/>
                <w:color w:val="000000"/>
                <w:kern w:val="0"/>
                <w:sz w:val="24"/>
                <w:szCs w:val="24"/>
                <w:lang w:eastAsia="zh-CN" w:bidi="ar"/>
              </w:rPr>
              <w:t>项目</w:t>
            </w:r>
            <w:r>
              <w:rPr>
                <w:rFonts w:hint="eastAsia" w:ascii="宋体" w:hAnsi="宋体" w:eastAsia="宋体" w:cs="宋体"/>
                <w:color w:val="000000"/>
                <w:kern w:val="0"/>
                <w:sz w:val="24"/>
                <w:szCs w:val="24"/>
                <w:lang w:val="en-US" w:eastAsia="zh-CN" w:bidi="ar"/>
              </w:rPr>
              <w:t>所有开支。</w:t>
            </w:r>
          </w:p>
        </w:tc>
      </w:tr>
      <w:tr w14:paraId="64ED070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8D072">
            <w:pPr>
              <w:spacing w:line="300" w:lineRule="exact"/>
              <w:rPr>
                <w:rFonts w:hint="eastAsia" w:ascii="宋体" w:hAnsi="宋体" w:eastAsia="宋体" w:cs="宋体"/>
                <w:color w:val="000000"/>
                <w:sz w:val="24"/>
                <w:szCs w:val="24"/>
              </w:rPr>
            </w:pP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03FE4C33">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申报（补助）条件</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6412981C">
            <w:pPr>
              <w:spacing w:line="300" w:lineRule="exact"/>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无。</w:t>
            </w:r>
          </w:p>
        </w:tc>
      </w:tr>
      <w:tr w14:paraId="4599475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C550C">
            <w:pPr>
              <w:spacing w:line="300" w:lineRule="exact"/>
              <w:rPr>
                <w:rFonts w:hint="eastAsia" w:ascii="宋体" w:hAnsi="宋体" w:eastAsia="宋体" w:cs="宋体"/>
                <w:color w:val="000000"/>
                <w:sz w:val="24"/>
                <w:szCs w:val="24"/>
              </w:rPr>
            </w:pPr>
          </w:p>
        </w:tc>
        <w:tc>
          <w:tcPr>
            <w:tcW w:w="3778" w:type="dxa"/>
            <w:gridSpan w:val="3"/>
            <w:tcBorders>
              <w:top w:val="single" w:color="000000" w:sz="4" w:space="0"/>
              <w:left w:val="single" w:color="000000" w:sz="4" w:space="0"/>
              <w:bottom w:val="single" w:color="000000" w:sz="4" w:space="0"/>
              <w:right w:val="single" w:color="000000" w:sz="4" w:space="0"/>
            </w:tcBorders>
            <w:noWrap w:val="0"/>
            <w:vAlign w:val="center"/>
          </w:tcPr>
          <w:p w14:paraId="1DC01C99">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项目起止年限</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32E6F4BB">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1</w:t>
            </w:r>
            <w:r>
              <w:rPr>
                <w:rFonts w:hint="eastAsia" w:eastAsia="宋体"/>
                <w:color w:val="000000"/>
                <w:kern w:val="0"/>
                <w:sz w:val="24"/>
                <w:szCs w:val="24"/>
                <w:lang w:bidi="ar"/>
              </w:rPr>
              <w:t>月至</w:t>
            </w:r>
            <w:r>
              <w:rPr>
                <w:rFonts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年1</w:t>
            </w:r>
            <w:r>
              <w:rPr>
                <w:rFonts w:hint="eastAsia" w:eastAsia="宋体"/>
                <w:color w:val="000000"/>
                <w:kern w:val="0"/>
                <w:sz w:val="24"/>
                <w:szCs w:val="24"/>
                <w:lang w:val="en-US" w:eastAsia="zh-CN" w:bidi="ar"/>
              </w:rPr>
              <w:t>2</w:t>
            </w:r>
            <w:r>
              <w:rPr>
                <w:rFonts w:hint="eastAsia" w:eastAsia="宋体"/>
                <w:color w:val="000000"/>
                <w:kern w:val="0"/>
                <w:sz w:val="24"/>
                <w:szCs w:val="24"/>
                <w:lang w:bidi="ar"/>
              </w:rPr>
              <w:t>月</w:t>
            </w:r>
          </w:p>
        </w:tc>
      </w:tr>
      <w:tr w14:paraId="5D075B38">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EA64AB">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项目资金</w:t>
            </w:r>
          </w:p>
          <w:p w14:paraId="30E9C385">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（万元）</w:t>
            </w:r>
          </w:p>
        </w:tc>
        <w:tc>
          <w:tcPr>
            <w:tcW w:w="2697" w:type="dxa"/>
            <w:gridSpan w:val="2"/>
            <w:tcBorders>
              <w:top w:val="single" w:color="000000" w:sz="4" w:space="0"/>
              <w:left w:val="single" w:color="000000" w:sz="4" w:space="0"/>
              <w:bottom w:val="single" w:color="000000" w:sz="4" w:space="0"/>
              <w:right w:val="single" w:color="000000" w:sz="4" w:space="0"/>
            </w:tcBorders>
            <w:noWrap w:val="0"/>
            <w:vAlign w:val="center"/>
          </w:tcPr>
          <w:p w14:paraId="3CA99FAA">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年度资金总额：</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44E4DD67">
            <w:pPr>
              <w:widowControl/>
              <w:spacing w:line="300" w:lineRule="exact"/>
              <w:jc w:val="left"/>
              <w:textAlignment w:val="center"/>
              <w:rPr>
                <w:rFonts w:hint="default" w:ascii="Times New Roman" w:hAnsi="Times New Roman" w:eastAsia="宋体" w:cs="Times New Roman"/>
                <w:color w:val="000000"/>
                <w:kern w:val="0"/>
                <w:sz w:val="24"/>
                <w:szCs w:val="24"/>
                <w:lang w:val="en-US" w:bidi="ar"/>
              </w:rPr>
            </w:pPr>
            <w:r>
              <w:rPr>
                <w:rFonts w:hint="eastAsia" w:ascii="Times New Roman" w:hAnsi="Times New Roman" w:eastAsia="宋体" w:cs="Times New Roman"/>
                <w:color w:val="000000"/>
                <w:kern w:val="0"/>
                <w:sz w:val="24"/>
                <w:szCs w:val="24"/>
                <w:lang w:val="en-US" w:eastAsia="zh-CN" w:bidi="ar"/>
              </w:rPr>
              <w:t>75</w:t>
            </w:r>
          </w:p>
        </w:tc>
      </w:tr>
      <w:tr w14:paraId="1A844D22">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057A4">
            <w:pPr>
              <w:spacing w:line="300" w:lineRule="exact"/>
              <w:rPr>
                <w:rFonts w:hint="eastAsia" w:ascii="宋体" w:hAnsi="宋体" w:eastAsia="宋体" w:cs="宋体"/>
                <w:color w:val="000000"/>
                <w:sz w:val="24"/>
                <w:szCs w:val="24"/>
              </w:rPr>
            </w:pPr>
          </w:p>
        </w:tc>
        <w:tc>
          <w:tcPr>
            <w:tcW w:w="2697" w:type="dxa"/>
            <w:gridSpan w:val="2"/>
            <w:tcBorders>
              <w:top w:val="single" w:color="000000" w:sz="4" w:space="0"/>
              <w:left w:val="single" w:color="000000" w:sz="4" w:space="0"/>
              <w:bottom w:val="single" w:color="000000" w:sz="4" w:space="0"/>
              <w:right w:val="single" w:color="000000" w:sz="4" w:space="0"/>
            </w:tcBorders>
            <w:noWrap w:val="0"/>
            <w:vAlign w:val="center"/>
          </w:tcPr>
          <w:p w14:paraId="24DAC6C6">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w:t>
            </w:r>
            <w:r>
              <w:rPr>
                <w:rFonts w:hint="eastAsia" w:ascii="宋体" w:hAnsi="宋体" w:eastAsia="宋体" w:cs="宋体"/>
                <w:color w:val="000000"/>
                <w:kern w:val="0"/>
                <w:sz w:val="24"/>
                <w:szCs w:val="24"/>
                <w:lang w:bidi="ar"/>
              </w:rPr>
              <w:t xml:space="preserve"> </w:t>
            </w:r>
            <w:r>
              <w:rPr>
                <w:rFonts w:ascii="宋体" w:hAnsi="宋体" w:eastAsia="宋体" w:cs="宋体"/>
                <w:color w:val="000000"/>
                <w:kern w:val="0"/>
                <w:sz w:val="24"/>
                <w:szCs w:val="24"/>
                <w:lang w:bidi="ar"/>
              </w:rPr>
              <w:t>其中：财政拨款</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5287E940">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75</w:t>
            </w:r>
          </w:p>
        </w:tc>
      </w:tr>
      <w:tr w14:paraId="04998FAA">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DE7DD8">
            <w:pPr>
              <w:spacing w:line="300" w:lineRule="exact"/>
              <w:rPr>
                <w:rFonts w:hint="eastAsia" w:ascii="宋体" w:hAnsi="宋体" w:eastAsia="宋体" w:cs="宋体"/>
                <w:color w:val="000000"/>
                <w:sz w:val="24"/>
                <w:szCs w:val="24"/>
              </w:rPr>
            </w:pPr>
          </w:p>
        </w:tc>
        <w:tc>
          <w:tcPr>
            <w:tcW w:w="2697" w:type="dxa"/>
            <w:gridSpan w:val="2"/>
            <w:tcBorders>
              <w:top w:val="single" w:color="000000" w:sz="4" w:space="0"/>
              <w:left w:val="single" w:color="000000" w:sz="4" w:space="0"/>
              <w:bottom w:val="single" w:color="000000" w:sz="4" w:space="0"/>
              <w:right w:val="single" w:color="000000" w:sz="4" w:space="0"/>
            </w:tcBorders>
            <w:noWrap w:val="0"/>
            <w:vAlign w:val="center"/>
          </w:tcPr>
          <w:p w14:paraId="602CDF77">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其他资金</w:t>
            </w:r>
          </w:p>
        </w:tc>
        <w:tc>
          <w:tcPr>
            <w:tcW w:w="5803" w:type="dxa"/>
            <w:gridSpan w:val="5"/>
            <w:tcBorders>
              <w:top w:val="single" w:color="000000" w:sz="4" w:space="0"/>
              <w:left w:val="single" w:color="000000" w:sz="4" w:space="0"/>
              <w:bottom w:val="single" w:color="000000" w:sz="4" w:space="0"/>
              <w:right w:val="single" w:color="000000" w:sz="4" w:space="0"/>
            </w:tcBorders>
            <w:noWrap w:val="0"/>
            <w:vAlign w:val="center"/>
          </w:tcPr>
          <w:p w14:paraId="10FC3AAF">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0</w:t>
            </w:r>
          </w:p>
        </w:tc>
      </w:tr>
      <w:tr w14:paraId="335876EF">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F532D4D">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8A43161">
            <w:pPr>
              <w:widowControl/>
              <w:spacing w:line="300" w:lineRule="exact"/>
              <w:jc w:val="center"/>
              <w:textAlignment w:val="center"/>
              <w:rPr>
                <w:rFonts w:hint="default" w:ascii="宋体" w:hAnsi="宋体" w:eastAsia="宋体" w:cs="宋体"/>
                <w:color w:val="000000"/>
                <w:kern w:val="0"/>
                <w:sz w:val="24"/>
                <w:szCs w:val="24"/>
                <w:lang w:bidi="ar"/>
              </w:rPr>
            </w:pPr>
            <w:r>
              <w:rPr>
                <w:rFonts w:hint="default" w:ascii="宋体" w:hAnsi="宋体" w:eastAsia="宋体" w:cs="宋体"/>
                <w:color w:val="000000"/>
                <w:kern w:val="0"/>
                <w:sz w:val="24"/>
                <w:szCs w:val="24"/>
                <w:lang w:bidi="ar"/>
              </w:rPr>
              <w:t>年度目标</w:t>
            </w:r>
          </w:p>
        </w:tc>
      </w:tr>
      <w:tr w14:paraId="3654590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B20F1">
            <w:pPr>
              <w:spacing w:line="300" w:lineRule="exact"/>
              <w:rPr>
                <w:rFonts w:hint="eastAsia" w:ascii="宋体" w:hAnsi="宋体" w:eastAsia="宋体" w:cs="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12AE742">
            <w:pPr>
              <w:widowControl/>
              <w:spacing w:line="300" w:lineRule="exact"/>
              <w:jc w:val="left"/>
              <w:textAlignment w:val="center"/>
              <w:rPr>
                <w:rFonts w:hint="default" w:ascii="宋体" w:hAnsi="宋体" w:eastAsia="宋体" w:cs="宋体"/>
                <w:color w:val="000000"/>
                <w:kern w:val="0"/>
                <w:sz w:val="24"/>
                <w:szCs w:val="24"/>
                <w:lang w:val="en-US" w:bidi="ar"/>
              </w:rPr>
            </w:pPr>
            <w:r>
              <w:rPr>
                <w:rFonts w:hint="eastAsia" w:ascii="宋体" w:hAnsi="宋体" w:eastAsia="宋体" w:cs="宋体"/>
                <w:color w:val="000000"/>
                <w:kern w:val="0"/>
                <w:sz w:val="24"/>
                <w:szCs w:val="24"/>
                <w:lang w:val="en-US" w:eastAsia="zh-CN" w:bidi="ar"/>
              </w:rPr>
              <w:t>完善城市基础设施建设，能够保持城市环境, 保护人民身体健康, 把垃圾污染尽可能的降到最低限度,提高了我县垃圾处理中心的工作效率和处置能力，为人民群众创造一个良好的生活工作环境, 从根本上实现生活垃圾的无害化处理, 使生活垃圾达到无害化、减量化、资源化的总目标。</w:t>
            </w:r>
          </w:p>
        </w:tc>
      </w:tr>
      <w:tr w14:paraId="0A0E035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3DEF7074">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绩效指标（90分）</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32862BC">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一级指标</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C63D6F7">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二级指标</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2527580C">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三级指标</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74E7469">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5EB80E8">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138FBA0">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32B9D8F">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689AB67">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实际完成指标值</w:t>
            </w:r>
          </w:p>
        </w:tc>
      </w:tr>
      <w:tr w14:paraId="26674EF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EB00334">
            <w:pPr>
              <w:jc w:val="center"/>
              <w:rPr>
                <w:rFonts w:hint="eastAsia" w:ascii="宋体" w:hAnsi="宋体" w:eastAsia="宋体" w:cs="宋体"/>
                <w:color w:val="000000"/>
                <w:kern w:val="0"/>
                <w:sz w:val="24"/>
                <w:szCs w:val="24"/>
                <w:lang w:val="en-US" w:eastAsia="zh-CN" w:bidi="ar"/>
              </w:rPr>
            </w:pPr>
          </w:p>
        </w:tc>
        <w:tc>
          <w:tcPr>
            <w:tcW w:w="1081" w:type="dxa"/>
            <w:vMerge w:val="restart"/>
            <w:tcBorders>
              <w:top w:val="single" w:color="000000" w:sz="4" w:space="0"/>
              <w:left w:val="single" w:color="000000" w:sz="4" w:space="0"/>
              <w:right w:val="single" w:color="000000" w:sz="4" w:space="0"/>
            </w:tcBorders>
            <w:noWrap w:val="0"/>
            <w:vAlign w:val="center"/>
          </w:tcPr>
          <w:p w14:paraId="1D0C70F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产出指标</w:t>
            </w:r>
          </w:p>
        </w:tc>
        <w:tc>
          <w:tcPr>
            <w:tcW w:w="697" w:type="dxa"/>
            <w:vMerge w:val="restart"/>
            <w:tcBorders>
              <w:top w:val="single" w:color="000000" w:sz="4" w:space="0"/>
              <w:left w:val="single" w:color="000000" w:sz="4" w:space="0"/>
              <w:right w:val="single" w:color="000000" w:sz="4" w:space="0"/>
            </w:tcBorders>
            <w:noWrap w:val="0"/>
            <w:vAlign w:val="center"/>
          </w:tcPr>
          <w:p w14:paraId="7EE955E9">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数量指标</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4812329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热解气化站和5座垃圾中转站的燃油费用</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68F145F2">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45271AC">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20000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46177D8">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068AE51">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E05BFDB">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20000</w:t>
            </w:r>
          </w:p>
        </w:tc>
      </w:tr>
      <w:tr w14:paraId="508AF2D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8D185D7">
            <w:pPr>
              <w:jc w:val="center"/>
              <w:rPr>
                <w:rFonts w:hint="eastAsia" w:ascii="宋体" w:hAnsi="宋体" w:eastAsia="宋体" w:cs="宋体"/>
                <w:color w:val="000000"/>
                <w:kern w:val="0"/>
                <w:sz w:val="24"/>
                <w:szCs w:val="24"/>
                <w:lang w:val="en-US" w:eastAsia="zh-CN" w:bidi="ar"/>
              </w:rPr>
            </w:pPr>
          </w:p>
        </w:tc>
        <w:tc>
          <w:tcPr>
            <w:tcW w:w="1081" w:type="dxa"/>
            <w:vMerge w:val="continue"/>
            <w:tcBorders>
              <w:left w:val="single" w:color="000000" w:sz="4" w:space="0"/>
              <w:right w:val="single" w:color="000000" w:sz="4" w:space="0"/>
            </w:tcBorders>
            <w:noWrap w:val="0"/>
            <w:vAlign w:val="center"/>
          </w:tcPr>
          <w:p w14:paraId="7439B35F">
            <w:pPr>
              <w:jc w:val="center"/>
              <w:rPr>
                <w:rFonts w:hint="eastAsia" w:ascii="宋体" w:hAnsi="宋体" w:eastAsia="宋体" w:cs="宋体"/>
                <w:color w:val="000000"/>
                <w:kern w:val="0"/>
                <w:sz w:val="24"/>
                <w:szCs w:val="24"/>
                <w:lang w:val="en-US" w:eastAsia="zh-CN" w:bidi="ar"/>
              </w:rPr>
            </w:pPr>
          </w:p>
        </w:tc>
        <w:tc>
          <w:tcPr>
            <w:tcW w:w="697" w:type="dxa"/>
            <w:vMerge w:val="continue"/>
            <w:tcBorders>
              <w:left w:val="single" w:color="000000" w:sz="4" w:space="0"/>
              <w:right w:val="single" w:color="000000" w:sz="4" w:space="0"/>
            </w:tcBorders>
            <w:noWrap w:val="0"/>
            <w:vAlign w:val="center"/>
          </w:tcPr>
          <w:p w14:paraId="4C7EBC73">
            <w:pPr>
              <w:jc w:val="center"/>
              <w:rPr>
                <w:rFonts w:hint="default" w:ascii="宋体" w:hAnsi="宋体" w:eastAsia="宋体" w:cs="宋体"/>
                <w:color w:val="000000"/>
                <w:kern w:val="0"/>
                <w:sz w:val="24"/>
                <w:szCs w:val="24"/>
                <w:lang w:val="en-US" w:eastAsia="zh-CN" w:bidi="ar"/>
              </w:rPr>
            </w:pP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39273F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热解气化站和5座垃圾中转站维修次数</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6DB8A0F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F9CBBC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C4DD28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08A2B95">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8808DE8">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w:t>
            </w:r>
          </w:p>
        </w:tc>
      </w:tr>
      <w:tr w14:paraId="0AB4AEE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F62FBD7">
            <w:pPr>
              <w:jc w:val="center"/>
              <w:rPr>
                <w:rFonts w:hint="eastAsia" w:ascii="宋体" w:hAnsi="宋体" w:eastAsia="宋体" w:cs="宋体"/>
                <w:color w:val="000000"/>
                <w:kern w:val="0"/>
                <w:sz w:val="24"/>
                <w:szCs w:val="24"/>
                <w:lang w:val="en-US" w:eastAsia="zh-CN" w:bidi="ar"/>
              </w:rPr>
            </w:pPr>
          </w:p>
        </w:tc>
        <w:tc>
          <w:tcPr>
            <w:tcW w:w="1081" w:type="dxa"/>
            <w:vMerge w:val="continue"/>
            <w:tcBorders>
              <w:left w:val="single" w:color="000000" w:sz="4" w:space="0"/>
              <w:right w:val="single" w:color="000000" w:sz="4" w:space="0"/>
            </w:tcBorders>
            <w:noWrap w:val="0"/>
            <w:vAlign w:val="center"/>
          </w:tcPr>
          <w:p w14:paraId="3C98E359">
            <w:pPr>
              <w:jc w:val="center"/>
              <w:rPr>
                <w:rFonts w:hint="eastAsia" w:ascii="宋体" w:hAnsi="宋体" w:eastAsia="宋体" w:cs="宋体"/>
                <w:color w:val="000000"/>
                <w:kern w:val="0"/>
                <w:sz w:val="24"/>
                <w:szCs w:val="24"/>
                <w:lang w:val="en-US" w:eastAsia="zh-CN" w:bidi="ar"/>
              </w:rPr>
            </w:pPr>
          </w:p>
        </w:tc>
        <w:tc>
          <w:tcPr>
            <w:tcW w:w="6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108A2">
            <w:pPr>
              <w:jc w:val="center"/>
              <w:rPr>
                <w:rFonts w:hint="eastAsia" w:ascii="宋体" w:hAnsi="宋体" w:eastAsia="宋体" w:cs="宋体"/>
                <w:color w:val="000000"/>
                <w:kern w:val="0"/>
                <w:sz w:val="24"/>
                <w:szCs w:val="24"/>
                <w:lang w:val="en-US" w:eastAsia="zh-CN" w:bidi="ar"/>
              </w:rPr>
            </w:pP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C1EB9C5">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花木采购数量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0201BD7C">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BD5A8D2">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15000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CA89309">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95492C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F84494D">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15000</w:t>
            </w:r>
          </w:p>
        </w:tc>
      </w:tr>
      <w:tr w14:paraId="3D9E233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0B2A9CA">
            <w:pPr>
              <w:jc w:val="center"/>
              <w:rPr>
                <w:rFonts w:hint="eastAsia" w:ascii="宋体" w:hAnsi="宋体" w:eastAsia="宋体" w:cs="宋体"/>
                <w:color w:val="000000"/>
                <w:kern w:val="0"/>
                <w:sz w:val="24"/>
                <w:szCs w:val="24"/>
                <w:lang w:val="en-US" w:eastAsia="zh-CN" w:bidi="ar"/>
              </w:rPr>
            </w:pPr>
          </w:p>
        </w:tc>
        <w:tc>
          <w:tcPr>
            <w:tcW w:w="1081" w:type="dxa"/>
            <w:vMerge w:val="continue"/>
            <w:tcBorders>
              <w:left w:val="single" w:color="000000" w:sz="4" w:space="0"/>
              <w:right w:val="single" w:color="000000" w:sz="4" w:space="0"/>
            </w:tcBorders>
            <w:noWrap w:val="0"/>
            <w:vAlign w:val="center"/>
          </w:tcPr>
          <w:p w14:paraId="0B82B4AC">
            <w:pPr>
              <w:jc w:val="center"/>
              <w:rPr>
                <w:rFonts w:hint="eastAsia" w:ascii="宋体" w:hAnsi="宋体" w:eastAsia="宋体" w:cs="宋体"/>
                <w:color w:val="000000"/>
                <w:kern w:val="0"/>
                <w:sz w:val="24"/>
                <w:szCs w:val="24"/>
                <w:lang w:val="en-US" w:eastAsia="zh-CN" w:bidi="ar"/>
              </w:rPr>
            </w:pPr>
          </w:p>
        </w:tc>
        <w:tc>
          <w:tcPr>
            <w:tcW w:w="697" w:type="dxa"/>
            <w:vMerge w:val="continue"/>
            <w:tcBorders>
              <w:top w:val="single" w:color="000000" w:sz="4" w:space="0"/>
              <w:left w:val="single" w:color="000000" w:sz="4" w:space="0"/>
              <w:right w:val="single" w:color="000000" w:sz="4" w:space="0"/>
            </w:tcBorders>
            <w:noWrap w:val="0"/>
            <w:vAlign w:val="center"/>
          </w:tcPr>
          <w:p w14:paraId="0A19C2E8">
            <w:pPr>
              <w:jc w:val="center"/>
              <w:rPr>
                <w:rFonts w:hint="eastAsia" w:ascii="宋体" w:hAnsi="宋体" w:eastAsia="宋体" w:cs="宋体"/>
                <w:color w:val="000000"/>
                <w:kern w:val="0"/>
                <w:sz w:val="24"/>
                <w:szCs w:val="24"/>
                <w:lang w:val="en-US" w:eastAsia="zh-CN" w:bidi="ar"/>
              </w:rPr>
            </w:pP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3BFAB2C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草坪种植面积</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2AFEBA">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6E2468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37616D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EA94795">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A6606FC">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1000</w:t>
            </w:r>
          </w:p>
        </w:tc>
      </w:tr>
      <w:tr w14:paraId="1E56C4A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08A6787">
            <w:pPr>
              <w:jc w:val="center"/>
              <w:rPr>
                <w:rFonts w:hint="eastAsia" w:ascii="宋体" w:hAnsi="宋体" w:eastAsia="宋体" w:cs="宋体"/>
                <w:color w:val="000000"/>
                <w:kern w:val="0"/>
                <w:sz w:val="24"/>
                <w:szCs w:val="24"/>
                <w:lang w:val="en-US" w:eastAsia="zh-CN" w:bidi="ar"/>
              </w:rPr>
            </w:pPr>
          </w:p>
        </w:tc>
        <w:tc>
          <w:tcPr>
            <w:tcW w:w="1081" w:type="dxa"/>
            <w:vMerge w:val="continue"/>
            <w:tcBorders>
              <w:left w:val="single" w:color="000000" w:sz="4" w:space="0"/>
              <w:bottom w:val="single" w:color="000000" w:sz="4" w:space="0"/>
              <w:right w:val="single" w:color="000000" w:sz="4" w:space="0"/>
            </w:tcBorders>
            <w:noWrap w:val="0"/>
            <w:vAlign w:val="center"/>
          </w:tcPr>
          <w:p w14:paraId="313C6E52">
            <w:pPr>
              <w:jc w:val="center"/>
              <w:rPr>
                <w:rFonts w:hint="eastAsia" w:ascii="宋体" w:hAnsi="宋体" w:eastAsia="宋体" w:cs="宋体"/>
                <w:color w:val="000000"/>
                <w:kern w:val="0"/>
                <w:sz w:val="24"/>
                <w:szCs w:val="24"/>
                <w:lang w:val="en-US" w:eastAsia="zh-CN" w:bidi="ar"/>
              </w:rPr>
            </w:pPr>
          </w:p>
        </w:tc>
        <w:tc>
          <w:tcPr>
            <w:tcW w:w="697" w:type="dxa"/>
            <w:tcBorders>
              <w:left w:val="single" w:color="000000" w:sz="4" w:space="0"/>
              <w:bottom w:val="single" w:color="000000" w:sz="4" w:space="0"/>
              <w:right w:val="single" w:color="000000" w:sz="4" w:space="0"/>
            </w:tcBorders>
            <w:noWrap w:val="0"/>
            <w:vAlign w:val="center"/>
          </w:tcPr>
          <w:p w14:paraId="2DDFDA22">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质量指标</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2F4D7FD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绿植存活率</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5B15284">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B108A7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74F96E1">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23C09F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5A1FA3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60</w:t>
            </w:r>
          </w:p>
        </w:tc>
      </w:tr>
      <w:tr w14:paraId="1D8BC77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F2AEA24">
            <w:pPr>
              <w:jc w:val="center"/>
              <w:rPr>
                <w:rFonts w:hint="eastAsia" w:ascii="宋体" w:hAnsi="宋体" w:eastAsia="宋体" w:cs="宋体"/>
                <w:color w:val="000000"/>
                <w:kern w:val="0"/>
                <w:sz w:val="24"/>
                <w:szCs w:val="24"/>
                <w:lang w:val="en-US" w:eastAsia="zh-CN" w:bidi="ar"/>
              </w:rPr>
            </w:pPr>
          </w:p>
        </w:tc>
        <w:tc>
          <w:tcPr>
            <w:tcW w:w="1081" w:type="dxa"/>
            <w:vMerge w:val="continue"/>
            <w:tcBorders>
              <w:top w:val="single" w:color="000000" w:sz="4" w:space="0"/>
              <w:left w:val="single" w:color="000000" w:sz="4" w:space="0"/>
              <w:right w:val="single" w:color="000000" w:sz="4" w:space="0"/>
            </w:tcBorders>
            <w:noWrap w:val="0"/>
            <w:vAlign w:val="center"/>
          </w:tcPr>
          <w:p w14:paraId="51B8D34D">
            <w:pPr>
              <w:jc w:val="center"/>
              <w:rPr>
                <w:rFonts w:hint="eastAsia" w:ascii="宋体" w:hAnsi="宋体" w:eastAsia="宋体" w:cs="宋体"/>
                <w:color w:val="000000"/>
                <w:kern w:val="0"/>
                <w:sz w:val="24"/>
                <w:szCs w:val="24"/>
                <w:lang w:val="en-US" w:eastAsia="zh-CN" w:bidi="ar"/>
              </w:rPr>
            </w:pPr>
          </w:p>
        </w:tc>
        <w:tc>
          <w:tcPr>
            <w:tcW w:w="697" w:type="dxa"/>
            <w:vMerge w:val="restart"/>
            <w:tcBorders>
              <w:top w:val="single" w:color="000000" w:sz="4" w:space="0"/>
              <w:left w:val="single" w:color="000000" w:sz="4" w:space="0"/>
              <w:bottom w:val="single" w:color="000000" w:sz="4" w:space="0"/>
              <w:right w:val="single" w:color="000000" w:sz="4" w:space="0"/>
            </w:tcBorders>
            <w:noWrap w:val="0"/>
            <w:vAlign w:val="center"/>
          </w:tcPr>
          <w:p w14:paraId="19498769">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时效指标</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66BB1DE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第一次采购时间</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66FA8725">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C8BE3CF">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CEE34C3">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50C99B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FE25A8B">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r>
      <w:tr w14:paraId="66B6483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D94A79F">
            <w:pPr>
              <w:jc w:val="center"/>
              <w:rPr>
                <w:rFonts w:hint="eastAsia" w:ascii="宋体" w:hAnsi="宋体" w:eastAsia="宋体" w:cs="宋体"/>
                <w:color w:val="000000"/>
                <w:kern w:val="0"/>
                <w:sz w:val="24"/>
                <w:szCs w:val="24"/>
                <w:lang w:val="en-US" w:eastAsia="zh-CN" w:bidi="ar"/>
              </w:rPr>
            </w:pPr>
          </w:p>
        </w:tc>
        <w:tc>
          <w:tcPr>
            <w:tcW w:w="1081" w:type="dxa"/>
            <w:vMerge w:val="continue"/>
            <w:tcBorders>
              <w:left w:val="single" w:color="000000" w:sz="4" w:space="0"/>
              <w:bottom w:val="single" w:color="000000" w:sz="4" w:space="0"/>
              <w:right w:val="single" w:color="000000" w:sz="4" w:space="0"/>
            </w:tcBorders>
            <w:noWrap w:val="0"/>
            <w:vAlign w:val="center"/>
          </w:tcPr>
          <w:p w14:paraId="613DAD63">
            <w:pPr>
              <w:jc w:val="center"/>
              <w:rPr>
                <w:rFonts w:hint="eastAsia" w:ascii="宋体" w:hAnsi="宋体" w:eastAsia="宋体" w:cs="宋体"/>
                <w:color w:val="000000"/>
                <w:kern w:val="0"/>
                <w:sz w:val="24"/>
                <w:szCs w:val="24"/>
                <w:lang w:val="en-US" w:eastAsia="zh-CN" w:bidi="ar"/>
              </w:rPr>
            </w:pPr>
          </w:p>
        </w:tc>
        <w:tc>
          <w:tcPr>
            <w:tcW w:w="6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09BB7">
            <w:pPr>
              <w:jc w:val="center"/>
              <w:rPr>
                <w:rFonts w:hint="default" w:ascii="宋体" w:hAnsi="宋体" w:eastAsia="宋体" w:cs="宋体"/>
                <w:color w:val="000000"/>
                <w:kern w:val="0"/>
                <w:sz w:val="24"/>
                <w:szCs w:val="24"/>
                <w:lang w:val="en-US" w:eastAsia="zh-CN" w:bidi="ar"/>
              </w:rPr>
            </w:pP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2B8CDB9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第二次采购时间</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15B8CC2">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1D4817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236166D">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D8D078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9AC9BFC">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r>
      <w:tr w14:paraId="2BF49F9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DA478C7">
            <w:pPr>
              <w:jc w:val="center"/>
              <w:rPr>
                <w:rFonts w:hint="eastAsia" w:ascii="宋体" w:hAnsi="宋体" w:eastAsia="宋体" w:cs="宋体"/>
                <w:color w:val="000000"/>
                <w:kern w:val="0"/>
                <w:sz w:val="24"/>
                <w:szCs w:val="24"/>
                <w:lang w:val="en-US" w:eastAsia="zh-CN" w:bidi="ar"/>
              </w:rPr>
            </w:pPr>
          </w:p>
        </w:tc>
        <w:tc>
          <w:tcPr>
            <w:tcW w:w="1081" w:type="dxa"/>
            <w:vMerge w:val="restart"/>
            <w:tcBorders>
              <w:top w:val="single" w:color="000000" w:sz="4" w:space="0"/>
              <w:left w:val="single" w:color="000000" w:sz="4" w:space="0"/>
              <w:right w:val="single" w:color="000000" w:sz="4" w:space="0"/>
            </w:tcBorders>
            <w:noWrap w:val="0"/>
            <w:vAlign w:val="center"/>
          </w:tcPr>
          <w:p w14:paraId="3F844789">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效益指标</w:t>
            </w:r>
          </w:p>
        </w:tc>
        <w:tc>
          <w:tcPr>
            <w:tcW w:w="697" w:type="dxa"/>
            <w:vMerge w:val="restart"/>
            <w:tcBorders>
              <w:top w:val="single" w:color="000000" w:sz="4" w:space="0"/>
              <w:left w:val="single" w:color="000000" w:sz="4" w:space="0"/>
              <w:right w:val="single" w:color="000000" w:sz="4" w:space="0"/>
            </w:tcBorders>
            <w:noWrap w:val="0"/>
            <w:vAlign w:val="center"/>
          </w:tcPr>
          <w:p w14:paraId="240F795B">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社会效益指标</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7BA46664">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美化城区环境</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4187275">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A77FFFD">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58CF39D">
            <w:pPr>
              <w:jc w:val="center"/>
              <w:rPr>
                <w:rFonts w:hint="eastAsia" w:ascii="宋体" w:hAnsi="宋体" w:eastAsia="宋体" w:cs="宋体"/>
                <w:color w:val="000000"/>
                <w:kern w:val="0"/>
                <w:sz w:val="24"/>
                <w:szCs w:val="24"/>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58F3855">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ABFB14D">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优</w:t>
            </w:r>
          </w:p>
        </w:tc>
      </w:tr>
      <w:tr w14:paraId="0272A81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28E1635">
            <w:pPr>
              <w:jc w:val="center"/>
              <w:rPr>
                <w:rFonts w:hint="eastAsia" w:ascii="宋体" w:hAnsi="宋体" w:eastAsia="宋体" w:cs="宋体"/>
                <w:color w:val="000000"/>
                <w:kern w:val="0"/>
                <w:sz w:val="24"/>
                <w:szCs w:val="24"/>
                <w:lang w:val="en-US" w:eastAsia="zh-CN" w:bidi="ar"/>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B4816">
            <w:pPr>
              <w:jc w:val="center"/>
              <w:rPr>
                <w:rFonts w:hint="eastAsia" w:ascii="宋体" w:hAnsi="宋体" w:eastAsia="宋体" w:cs="宋体"/>
                <w:color w:val="000000"/>
                <w:kern w:val="0"/>
                <w:sz w:val="24"/>
                <w:szCs w:val="24"/>
                <w:lang w:val="en-US" w:eastAsia="zh-CN" w:bidi="ar"/>
              </w:rPr>
            </w:pPr>
          </w:p>
        </w:tc>
        <w:tc>
          <w:tcPr>
            <w:tcW w:w="6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64B73">
            <w:pPr>
              <w:jc w:val="center"/>
              <w:rPr>
                <w:rFonts w:hint="eastAsia" w:ascii="宋体" w:hAnsi="宋体" w:eastAsia="宋体" w:cs="宋体"/>
                <w:color w:val="000000"/>
                <w:kern w:val="0"/>
                <w:sz w:val="24"/>
                <w:szCs w:val="24"/>
                <w:lang w:val="en-US" w:eastAsia="zh-CN" w:bidi="ar"/>
              </w:rPr>
            </w:pPr>
          </w:p>
        </w:tc>
        <w:tc>
          <w:tcPr>
            <w:tcW w:w="2000" w:type="dxa"/>
            <w:tcBorders>
              <w:top w:val="single" w:color="000000" w:sz="4" w:space="0"/>
              <w:bottom w:val="single" w:color="000000" w:sz="4" w:space="0"/>
              <w:right w:val="single" w:color="000000" w:sz="4" w:space="0"/>
            </w:tcBorders>
            <w:noWrap w:val="0"/>
            <w:vAlign w:val="center"/>
          </w:tcPr>
          <w:p w14:paraId="7B91E4AB">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保障周边生态环境及下游水资源</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55E3154">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473AE5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0030BB9">
            <w:pPr>
              <w:jc w:val="center"/>
              <w:rPr>
                <w:rFonts w:hint="eastAsia" w:ascii="宋体" w:hAnsi="宋体" w:eastAsia="宋体" w:cs="宋体"/>
                <w:color w:val="000000"/>
                <w:kern w:val="0"/>
                <w:sz w:val="24"/>
                <w:szCs w:val="24"/>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417A2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1E8BBFF">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优</w:t>
            </w:r>
          </w:p>
        </w:tc>
      </w:tr>
      <w:tr w14:paraId="661945E0">
        <w:tblPrEx>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noWrap w:val="0"/>
            <w:vAlign w:val="center"/>
          </w:tcPr>
          <w:p w14:paraId="773478EA">
            <w:pPr>
              <w:jc w:val="center"/>
              <w:rPr>
                <w:rFonts w:hint="eastAsia" w:ascii="宋体" w:hAnsi="宋体" w:eastAsia="宋体" w:cs="宋体"/>
                <w:color w:val="000000"/>
                <w:kern w:val="0"/>
                <w:sz w:val="24"/>
                <w:szCs w:val="24"/>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EB3BB11">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满意度指标</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3587206">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满意度指标</w:t>
            </w:r>
          </w:p>
        </w:tc>
        <w:tc>
          <w:tcPr>
            <w:tcW w:w="2000" w:type="dxa"/>
            <w:tcBorders>
              <w:top w:val="single" w:color="000000" w:sz="4" w:space="0"/>
              <w:bottom w:val="single" w:color="000000" w:sz="4" w:space="0"/>
              <w:right w:val="single" w:color="000000" w:sz="4" w:space="0"/>
            </w:tcBorders>
            <w:noWrap w:val="0"/>
            <w:vAlign w:val="center"/>
          </w:tcPr>
          <w:p w14:paraId="796C8298">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市民满意度</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0DF65211">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FB0095E">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3FC1ABB">
            <w:pPr>
              <w:keepNext w:val="0"/>
              <w:keepLines w:val="0"/>
              <w:widowControl/>
              <w:suppressLineNumbers w:val="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B0F3FAC">
            <w:pPr>
              <w:jc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256C4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90</w:t>
            </w:r>
          </w:p>
        </w:tc>
      </w:tr>
    </w:tbl>
    <w:p w14:paraId="1334C519">
      <w:pPr>
        <w:pStyle w:val="8"/>
        <w:spacing w:after="0" w:line="578" w:lineRule="exact"/>
        <w:ind w:leftChars="0" w:firstLine="0" w:firstLineChars="0"/>
        <w:rPr>
          <w:rFonts w:hint="eastAsia" w:ascii="黑体" w:hAnsi="黑体" w:eastAsia="黑体" w:cs="黑体"/>
          <w:sz w:val="24"/>
          <w:szCs w:val="24"/>
        </w:rPr>
      </w:pPr>
    </w:p>
    <w:p w14:paraId="3E0A40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2439349C"/>
    <w:rsid w:val="244E01D1"/>
    <w:rsid w:val="33DA011B"/>
    <w:rsid w:val="358B1B11"/>
    <w:rsid w:val="3788151E"/>
    <w:rsid w:val="423607D0"/>
    <w:rsid w:val="4A0B0DD8"/>
    <w:rsid w:val="55704B34"/>
    <w:rsid w:val="560B078B"/>
    <w:rsid w:val="57B166CC"/>
    <w:rsid w:val="5DBC40E7"/>
    <w:rsid w:val="6A547AFF"/>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3"/>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2"/>
    <w:basedOn w:val="5"/>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14</Pages>
  <Words>6204</Words>
  <Characters>6358</Characters>
  <Lines>2</Lines>
  <Paragraphs>1</Paragraphs>
  <TotalTime>1</TotalTime>
  <ScaleCrop>false</ScaleCrop>
  <LinksUpToDate>false</LinksUpToDate>
  <CharactersWithSpaces>6392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2025-08-29T03:14:38Z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