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F516DD">
      <w:pPr>
        <w:spacing w:line="580" w:lineRule="exact"/>
        <w:jc w:val="center"/>
        <w:rPr>
          <w:rFonts w:hint="default" w:ascii="仿宋_GB2312" w:hAnsi="黑体" w:eastAsia="仿宋_GB2312" w:cs="方正小标宋简体"/>
          <w:b/>
          <w:sz w:val="32"/>
          <w:szCs w:val="32"/>
          <w:lang w:val="en-US" w:eastAsia="zh-CN"/>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24</w:t>
      </w:r>
      <w:r>
        <w:rPr>
          <w:rFonts w:hint="eastAsia" w:ascii="仿宋_GB2312" w:hAnsi="黑体" w:eastAsia="仿宋_GB2312" w:cs="方正小标宋简体"/>
          <w:b/>
          <w:sz w:val="32"/>
          <w:szCs w:val="32"/>
        </w:rPr>
        <w:t>年</w:t>
      </w:r>
      <w:r>
        <w:rPr>
          <w:rFonts w:hint="default" w:ascii="仿宋_GB2312" w:hAnsi="黑体" w:eastAsia="仿宋_GB2312" w:cs="方正小标宋简体"/>
          <w:b/>
          <w:sz w:val="32"/>
          <w:szCs w:val="32"/>
          <w:lang w:val="en-US" w:eastAsia="zh-CN"/>
        </w:rPr>
        <w:t>城镇垃圾无害化处理焚烧厂在线监测维护</w:t>
      </w:r>
    </w:p>
    <w:p w14:paraId="33FE7A86">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项目支出绩效评价报告</w:t>
      </w:r>
    </w:p>
    <w:p w14:paraId="0C3BF6DE">
      <w:pPr>
        <w:spacing w:line="580" w:lineRule="exact"/>
        <w:ind w:firstLine="640" w:firstLineChars="200"/>
        <w:rPr>
          <w:rFonts w:ascii="仿宋_GB2312" w:hAnsi="仿宋_GB2312" w:eastAsia="仿宋_GB2312" w:cs="仿宋_GB2312"/>
          <w:sz w:val="32"/>
          <w:szCs w:val="32"/>
        </w:rPr>
      </w:pPr>
    </w:p>
    <w:p w14:paraId="39A490B7">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sz w:val="32"/>
          <w:szCs w:val="32"/>
          <w:highlight w:val="none"/>
          <w:lang w:val="zh-CN"/>
        </w:rPr>
      </w:pPr>
      <w:r>
        <w:rPr>
          <w:rFonts w:hint="eastAsia" w:ascii="仿宋_GB2312" w:hAnsi="仿宋_GB2312" w:eastAsia="仿宋_GB2312" w:cs="仿宋_GB2312"/>
          <w:sz w:val="32"/>
          <w:szCs w:val="32"/>
          <w:highlight w:val="none"/>
        </w:rPr>
        <w:t>一、</w:t>
      </w:r>
      <w:r>
        <w:rPr>
          <w:rFonts w:hint="eastAsia" w:ascii="仿宋_GB2312" w:hAnsi="仿宋_GB2312" w:eastAsia="仿宋_GB2312" w:cs="仿宋_GB2312"/>
          <w:sz w:val="32"/>
          <w:szCs w:val="32"/>
          <w:highlight w:val="none"/>
          <w:lang w:val="zh-CN"/>
        </w:rPr>
        <w:t>项目概况</w:t>
      </w:r>
    </w:p>
    <w:p w14:paraId="4851AAF3">
      <w:pPr>
        <w:spacing w:line="560" w:lineRule="exact"/>
        <w:ind w:firstLine="643" w:firstLineChars="200"/>
        <w:rPr>
          <w:rFonts w:hint="eastAsia" w:ascii="仿宋_GB2312" w:hAnsi="仿宋_GB2312" w:eastAsia="仿宋_GB2312" w:cs="仿宋_GB2312"/>
          <w:b/>
          <w:color w:val="auto"/>
          <w:sz w:val="32"/>
          <w:szCs w:val="32"/>
          <w:highlight w:val="none"/>
          <w:u w:val="none"/>
          <w:lang w:val="zh-CN"/>
        </w:rPr>
      </w:pPr>
      <w:r>
        <w:rPr>
          <w:rFonts w:hint="eastAsia" w:ascii="仿宋_GB2312" w:hAnsi="仿宋_GB2312" w:eastAsia="仿宋_GB2312" w:cs="仿宋_GB2312"/>
          <w:b/>
          <w:color w:val="auto"/>
          <w:sz w:val="32"/>
          <w:szCs w:val="32"/>
          <w:highlight w:val="none"/>
          <w:u w:val="none"/>
          <w:lang w:val="zh-CN"/>
        </w:rPr>
        <w:t>（一）设立背景及基本情况。</w:t>
      </w:r>
    </w:p>
    <w:p w14:paraId="6F87A4CA">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1.项目设立原因及背景</w:t>
      </w:r>
    </w:p>
    <w:p w14:paraId="39750625">
      <w:pPr>
        <w:pStyle w:val="6"/>
        <w:ind w:firstLine="640" w:firstLineChars="200"/>
        <w:rPr>
          <w:rFonts w:hint="eastAsia" w:ascii="仿宋_GB2312" w:hAnsi="仿宋_GB2312" w:eastAsia="仿宋_GB2312" w:cs="仿宋_GB2312"/>
          <w:kern w:val="0"/>
          <w:sz w:val="32"/>
          <w:szCs w:val="32"/>
          <w:lang w:val="en-US" w:eastAsia="zh-CN" w:bidi="ar-SA"/>
        </w:rPr>
      </w:pPr>
      <w:r>
        <w:rPr>
          <w:rFonts w:hint="eastAsia" w:ascii="仿宋_GB2312" w:hAnsi="仿宋_GB2312" w:eastAsia="仿宋_GB2312" w:cs="仿宋_GB2312"/>
          <w:kern w:val="0"/>
          <w:sz w:val="32"/>
          <w:szCs w:val="32"/>
          <w:lang w:val="en-US" w:eastAsia="zh-CN" w:bidi="ar-SA"/>
        </w:rPr>
        <w:t>为落实环保督察反馈问题整改，保证黑水县城乡生活垃圾处理中心热解气化站正常使用和安全运行，我单位在原设备基础上增加 HCI在线监测指标，满足对生活垃圾的无害化、减量化处理要求，提高效率降低成本达到生活垃圾无害化处理的目的。</w:t>
      </w:r>
    </w:p>
    <w:p w14:paraId="45184D94">
      <w:pPr>
        <w:numPr>
          <w:ilvl w:val="0"/>
          <w:numId w:val="1"/>
        </w:num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bidi="ar-SA"/>
        </w:rPr>
        <w:t>项目立项、资金申报的依</w:t>
      </w:r>
      <w:r>
        <w:rPr>
          <w:rFonts w:hint="eastAsia" w:ascii="仿宋_GB2312" w:hAnsi="仿宋_GB2312" w:eastAsia="仿宋_GB2312" w:cs="仿宋_GB2312"/>
          <w:kern w:val="0"/>
          <w:sz w:val="32"/>
          <w:szCs w:val="32"/>
        </w:rPr>
        <w:t>据</w:t>
      </w:r>
    </w:p>
    <w:p w14:paraId="2FA81DE7">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新增的</w:t>
      </w:r>
      <w:r>
        <w:rPr>
          <w:rFonts w:hint="eastAsia" w:ascii="仿宋_GB2312" w:hAnsi="仿宋_GB2312" w:eastAsia="仿宋_GB2312" w:cs="仿宋_GB2312"/>
          <w:kern w:val="0"/>
          <w:sz w:val="32"/>
          <w:szCs w:val="32"/>
          <w:lang w:val="en-US" w:eastAsia="zh-CN" w:bidi="ar-SA"/>
        </w:rPr>
        <w:t>城镇垃圾无害化处理焚烧厂在线监测维护，需要专业人员按期维修、检修、添加化学药剂等，以保障在线监测系统正常运转，在线监测系统的检测结果准确无误，</w:t>
      </w:r>
      <w:r>
        <w:rPr>
          <w:rFonts w:hint="eastAsia" w:ascii="仿宋_GB2312" w:hAnsi="仿宋_GB2312" w:eastAsia="仿宋_GB2312" w:cs="仿宋_GB2312"/>
          <w:kern w:val="0"/>
          <w:sz w:val="32"/>
          <w:szCs w:val="32"/>
          <w:lang w:val="en-US" w:eastAsia="zh-CN"/>
        </w:rPr>
        <w:t>落实</w:t>
      </w:r>
      <w:r>
        <w:rPr>
          <w:rFonts w:hint="eastAsia" w:ascii="仿宋_GB2312" w:hAnsi="仿宋_GB2312" w:eastAsia="仿宋_GB2312" w:cs="仿宋_GB2312"/>
          <w:kern w:val="0"/>
          <w:sz w:val="32"/>
          <w:szCs w:val="32"/>
          <w:lang w:val="en-US" w:eastAsia="zh-CN" w:bidi="ar-SA"/>
        </w:rPr>
        <w:t>环保督察反馈的问题。</w:t>
      </w:r>
    </w:p>
    <w:p w14:paraId="7BEA73CB">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3.</w:t>
      </w:r>
      <w:r>
        <w:rPr>
          <w:rFonts w:hint="eastAsia" w:ascii="仿宋_GB2312" w:hAnsi="仿宋_GB2312" w:eastAsia="仿宋_GB2312" w:cs="仿宋_GB2312"/>
          <w:kern w:val="0"/>
          <w:sz w:val="32"/>
          <w:szCs w:val="32"/>
        </w:rPr>
        <w:t>项目主要内容</w:t>
      </w:r>
    </w:p>
    <w:p w14:paraId="63046BEB">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由第三方公司维护</w:t>
      </w:r>
      <w:r>
        <w:rPr>
          <w:rFonts w:hint="eastAsia" w:ascii="仿宋_GB2312" w:hAnsi="仿宋_GB2312" w:eastAsia="仿宋_GB2312" w:cs="仿宋_GB2312"/>
          <w:kern w:val="0"/>
          <w:sz w:val="32"/>
          <w:szCs w:val="32"/>
          <w:lang w:val="en-US" w:eastAsia="zh-CN" w:bidi="ar-SA"/>
        </w:rPr>
        <w:t>城镇垃圾无害化处理焚烧厂在线监测系统，按期维修、检修、添加化学药剂等，以保障在线监测系统正常运转，在线监测系统的检测结果准确无误，从而保证热解气化站、垃圾焚烧厂处理垃圾的达标排放</w:t>
      </w:r>
    </w:p>
    <w:p w14:paraId="609A6637">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4.主管部门职能</w:t>
      </w:r>
    </w:p>
    <w:p w14:paraId="758CBCC1">
      <w:pPr>
        <w:spacing w:line="560" w:lineRule="exact"/>
        <w:ind w:firstLine="640" w:firstLineChars="200"/>
        <w:rPr>
          <w:rFonts w:hint="eastAsia" w:ascii="仿宋_GB2312" w:hAnsi="仿宋_GB2312" w:eastAsia="仿宋_GB2312" w:cs="仿宋_GB2312"/>
          <w:b w:val="0"/>
          <w:kern w:val="0"/>
          <w:sz w:val="32"/>
          <w:szCs w:val="32"/>
          <w:lang w:val="zh-CN" w:eastAsia="zh-CN" w:bidi="ar-SA"/>
        </w:rPr>
      </w:pPr>
      <w:r>
        <w:rPr>
          <w:rFonts w:hint="eastAsia" w:ascii="仿宋_GB2312" w:hAnsi="仿宋_GB2312" w:eastAsia="仿宋_GB2312" w:cs="仿宋_GB2312"/>
          <w:b w:val="0"/>
          <w:kern w:val="0"/>
          <w:sz w:val="32"/>
          <w:szCs w:val="32"/>
          <w:lang w:val="en-US" w:eastAsia="zh-CN" w:bidi="ar-SA"/>
        </w:rPr>
        <w:t>我单位承担专项资金绩效管理的主体责任，主要负责提出专项资金分配方案，制定项目管理制度，组织项目评审和实施，开展项目验收、绩效评价和监督检查等工作。</w:t>
      </w:r>
    </w:p>
    <w:p w14:paraId="297CCB92">
      <w:pPr>
        <w:keepNext w:val="0"/>
        <w:keepLines w:val="0"/>
        <w:pageBreakBefore w:val="0"/>
        <w:numPr>
          <w:ilvl w:val="0"/>
          <w:numId w:val="2"/>
        </w:numPr>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仿宋_GB2312" w:hAnsi="仿宋_GB2312" w:eastAsia="仿宋_GB2312" w:cs="仿宋_GB2312"/>
          <w:b/>
          <w:color w:val="auto"/>
          <w:sz w:val="32"/>
          <w:szCs w:val="32"/>
          <w:highlight w:val="none"/>
          <w:u w:val="none"/>
          <w:lang w:val="en-US" w:eastAsia="zh-CN"/>
        </w:rPr>
      </w:pPr>
      <w:r>
        <w:rPr>
          <w:rFonts w:hint="eastAsia" w:ascii="仿宋_GB2312" w:hAnsi="仿宋_GB2312" w:eastAsia="仿宋_GB2312" w:cs="仿宋_GB2312"/>
          <w:b/>
          <w:color w:val="auto"/>
          <w:sz w:val="32"/>
          <w:szCs w:val="32"/>
          <w:highlight w:val="none"/>
          <w:u w:val="none"/>
          <w:lang w:val="en-US" w:eastAsia="zh-CN"/>
        </w:rPr>
        <w:t>实施目的及支持方向。</w:t>
      </w:r>
    </w:p>
    <w:p w14:paraId="3F9222F6">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1.项目资金管理办法制定情况</w:t>
      </w:r>
    </w:p>
    <w:p w14:paraId="5451DAF7">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我单位结合实际制定和完善了项目资金管理办法，项目管理办法有效执行。</w:t>
      </w:r>
    </w:p>
    <w:p w14:paraId="0C4FD83F">
      <w:pPr>
        <w:numPr>
          <w:ilvl w:val="0"/>
          <w:numId w:val="3"/>
        </w:num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项目实施目的和主要工作任务</w:t>
      </w:r>
    </w:p>
    <w:p w14:paraId="574E51A2">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 w:eastAsia="zh-CN"/>
        </w:rPr>
        <w:t>（</w:t>
      </w:r>
      <w:r>
        <w:rPr>
          <w:rFonts w:hint="eastAsia" w:ascii="仿宋_GB2312" w:hAnsi="仿宋_GB2312" w:eastAsia="仿宋_GB2312" w:cs="仿宋_GB2312"/>
          <w:kern w:val="0"/>
          <w:sz w:val="32"/>
          <w:szCs w:val="32"/>
          <w:lang w:val="en-US" w:eastAsia="zh-CN"/>
        </w:rPr>
        <w:t>1</w:t>
      </w:r>
      <w:r>
        <w:rPr>
          <w:rFonts w:hint="eastAsia" w:ascii="仿宋_GB2312" w:hAnsi="仿宋_GB2312" w:eastAsia="仿宋_GB2312" w:cs="仿宋_GB2312"/>
          <w:kern w:val="0"/>
          <w:sz w:val="32"/>
          <w:szCs w:val="32"/>
          <w:lang w:val="en" w:eastAsia="zh-CN"/>
        </w:rPr>
        <w:t>）生活垃圾处理能力提升</w:t>
      </w:r>
    </w:p>
    <w:p w14:paraId="139A0B10">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实施后,完善了城市基础设施建设，能够保持城市环境, 保护人民身体健康, 把垃圾污染尽可能的降到最低限度,提高了我县垃圾处理中心的工作效率和处置能力，为人民群众创造一个良好的生活工作环境, 从根本上实现生活垃圾的无害化处理, 使生活垃圾达到无害化、减量化、资源化的总目标；</w:t>
      </w:r>
    </w:p>
    <w:p w14:paraId="13370B0D">
      <w:pPr>
        <w:spacing w:line="560" w:lineRule="exact"/>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（2）开发旅游资源，改善投资环境的需要</w:t>
      </w:r>
    </w:p>
    <w:p w14:paraId="1DC069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县历史悠久，人文荟萃，有着丰富的旅游资源。经过多年的开发建设，在开发旅游资源、发展旅游事业上取得了很大成就。形成了首批众多旅游景区。为了进一步发展旅游资源，同时改善黑水的投资环境，必须加大力度进一步改善城市的环境质量。城市环境质量的高低，直接影响到作为旅游城市的面貌，并对投资环境有着重要影响。项目实施后治理了污染，改善环境，有助于其更好地发展旅游事业。</w:t>
      </w:r>
    </w:p>
    <w:p w14:paraId="1193DE24">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3.项目支持方向</w:t>
      </w:r>
    </w:p>
    <w:p w14:paraId="58E9E06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rPr>
      </w:pPr>
      <w:r>
        <w:rPr>
          <w:rFonts w:hint="eastAsia" w:ascii="仿宋_GB2312" w:hAnsi="仿宋_GB2312" w:eastAsia="仿宋_GB2312" w:cs="仿宋_GB2312"/>
          <w:kern w:val="0"/>
          <w:sz w:val="32"/>
          <w:szCs w:val="32"/>
          <w:lang w:val="en-US" w:eastAsia="zh-CN"/>
        </w:rPr>
        <w:t>该项目资金主要用于</w:t>
      </w:r>
      <w:r>
        <w:rPr>
          <w:rFonts w:hint="eastAsia" w:ascii="仿宋_GB2312" w:hAnsi="仿宋_GB2312" w:eastAsia="仿宋_GB2312" w:cs="仿宋_GB2312"/>
          <w:kern w:val="0"/>
          <w:sz w:val="32"/>
          <w:szCs w:val="32"/>
          <w:lang w:val="en-US" w:eastAsia="zh-CN" w:bidi="ar-SA"/>
        </w:rPr>
        <w:t>城镇垃圾无害化处理焚烧厂在线监测维护</w:t>
      </w:r>
      <w:r>
        <w:rPr>
          <w:rFonts w:hint="eastAsia" w:ascii="仿宋_GB2312" w:hAnsi="仿宋_GB2312" w:eastAsia="仿宋_GB2312" w:cs="仿宋_GB2312"/>
          <w:b w:val="0"/>
          <w:kern w:val="0"/>
          <w:sz w:val="32"/>
          <w:szCs w:val="32"/>
          <w:lang w:val="en-US" w:eastAsia="zh-CN" w:bidi="ar-SA"/>
        </w:rPr>
        <w:t>项目。</w:t>
      </w:r>
    </w:p>
    <w:p w14:paraId="4B9D1570">
      <w:pPr>
        <w:keepNext w:val="0"/>
        <w:keepLines w:val="0"/>
        <w:pageBreakBefore w:val="0"/>
        <w:widowControl/>
        <w:numPr>
          <w:ilvl w:val="0"/>
          <w:numId w:val="2"/>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b/>
          <w:color w:val="auto"/>
          <w:sz w:val="32"/>
          <w:szCs w:val="32"/>
          <w:highlight w:val="none"/>
          <w:u w:val="none"/>
          <w:lang w:val="zh-CN" w:eastAsia="zh-CN"/>
        </w:rPr>
      </w:pPr>
      <w:r>
        <w:rPr>
          <w:rFonts w:hint="eastAsia" w:ascii="仿宋_GB2312" w:hAnsi="仿宋_GB2312" w:eastAsia="仿宋_GB2312" w:cs="仿宋_GB2312"/>
          <w:b/>
          <w:color w:val="auto"/>
          <w:sz w:val="32"/>
          <w:szCs w:val="32"/>
          <w:highlight w:val="none"/>
          <w:u w:val="none"/>
          <w:lang w:val="en-US" w:eastAsia="zh-CN"/>
        </w:rPr>
        <w:t>预算安排及分配管理</w:t>
      </w:r>
      <w:r>
        <w:rPr>
          <w:rFonts w:hint="eastAsia" w:ascii="仿宋_GB2312" w:hAnsi="仿宋_GB2312" w:eastAsia="仿宋_GB2312" w:cs="仿宋_GB2312"/>
          <w:b/>
          <w:color w:val="auto"/>
          <w:sz w:val="32"/>
          <w:szCs w:val="32"/>
          <w:highlight w:val="none"/>
          <w:u w:val="none"/>
          <w:lang w:val="zh-CN" w:eastAsia="zh-CN"/>
        </w:rPr>
        <w:t>。</w:t>
      </w:r>
    </w:p>
    <w:p w14:paraId="4896D9F8">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1.项目预算安排情况</w:t>
      </w:r>
    </w:p>
    <w:p w14:paraId="44F6472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预算申报项目资金金额为13万元，批复金额为13万元，已拨付资金13万元，实际使用金额13万元，项目资金符合资金管理办法等相关规定。资金按批复金额在项目实施前全部到位，与资金计划相契合，资金到位率、到位及时性均为100%，保障项目能够如期开展。</w:t>
      </w:r>
    </w:p>
    <w:p w14:paraId="6C638FF1">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2.项目资金分配原则及考虑因素</w:t>
      </w:r>
    </w:p>
    <w:p w14:paraId="7C3B9AF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项目采用因素法进行项目资金分配，因素法分配财政资金是指事先设定财政资金分配时考虑的主要因素以及不同因素各占的比重，将资金分配到部门或地方，由部门或地方政府按照特定的资金用途，确定具体支持的项目并组织实施。</w:t>
      </w:r>
    </w:p>
    <w:p w14:paraId="6B58A6B0">
      <w:pPr>
        <w:spacing w:line="560" w:lineRule="exact"/>
        <w:ind w:firstLine="640" w:firstLineChars="200"/>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3.项目资金分配情况</w:t>
      </w:r>
    </w:p>
    <w:p w14:paraId="0B74F01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rPr>
      </w:pPr>
      <w:r>
        <w:rPr>
          <w:rFonts w:hint="eastAsia" w:ascii="仿宋_GB2312" w:hAnsi="仿宋_GB2312" w:eastAsia="仿宋_GB2312" w:cs="仿宋_GB2312"/>
          <w:kern w:val="0"/>
          <w:sz w:val="32"/>
          <w:szCs w:val="32"/>
          <w:lang w:val="en-US" w:eastAsia="zh-CN"/>
        </w:rPr>
        <w:t>项目总预算资金为13万元，来源为县级财政专项资金，预算资金分配充分，资金分配额度合理，与项目单位实际相适应。目前项目资金已全部支出，支付范围为维护</w:t>
      </w:r>
      <w:r>
        <w:rPr>
          <w:rFonts w:hint="eastAsia" w:ascii="仿宋_GB2312" w:hAnsi="仿宋_GB2312" w:eastAsia="仿宋_GB2312" w:cs="仿宋_GB2312"/>
          <w:kern w:val="0"/>
          <w:sz w:val="32"/>
          <w:szCs w:val="32"/>
          <w:lang w:val="en-US" w:eastAsia="zh-CN" w:bidi="ar-SA"/>
        </w:rPr>
        <w:t>城镇垃圾无害化处理焚烧厂在线监测系统，按期检修、添加药剂等</w:t>
      </w:r>
      <w:r>
        <w:rPr>
          <w:rFonts w:hint="eastAsia" w:ascii="仿宋_GB2312" w:hAnsi="仿宋_GB2312" w:eastAsia="仿宋_GB2312" w:cs="仿宋_GB2312"/>
          <w:kern w:val="0"/>
          <w:sz w:val="32"/>
          <w:szCs w:val="32"/>
          <w:lang w:val="en-US" w:eastAsia="zh-CN"/>
        </w:rPr>
        <w:t>，支付依据合规合法，与预算相符。</w:t>
      </w:r>
    </w:p>
    <w:p w14:paraId="610E92AA">
      <w:pPr>
        <w:keepNext w:val="0"/>
        <w:keepLines w:val="0"/>
        <w:pageBreakBefore w:val="0"/>
        <w:numPr>
          <w:ilvl w:val="0"/>
          <w:numId w:val="2"/>
        </w:numPr>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仿宋_GB2312" w:hAnsi="仿宋_GB2312" w:eastAsia="仿宋_GB2312" w:cs="仿宋_GB2312"/>
          <w:b/>
          <w:color w:val="auto"/>
          <w:sz w:val="32"/>
          <w:szCs w:val="32"/>
          <w:highlight w:val="none"/>
          <w:u w:val="none"/>
          <w:lang w:val="zh-CN" w:eastAsia="zh-CN"/>
        </w:rPr>
      </w:pPr>
      <w:r>
        <w:rPr>
          <w:rFonts w:hint="eastAsia" w:ascii="仿宋_GB2312" w:hAnsi="仿宋_GB2312" w:eastAsia="仿宋_GB2312" w:cs="仿宋_GB2312"/>
          <w:b/>
          <w:color w:val="auto"/>
          <w:sz w:val="32"/>
          <w:szCs w:val="32"/>
          <w:highlight w:val="none"/>
          <w:u w:val="none"/>
          <w:lang w:val="zh-CN" w:eastAsia="zh-CN"/>
        </w:rPr>
        <w:t>项目绩效目标设置。</w:t>
      </w:r>
    </w:p>
    <w:p w14:paraId="0CB3B9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kern w:val="0"/>
          <w:sz w:val="32"/>
          <w:szCs w:val="32"/>
          <w:lang w:val="en-US" w:eastAsia="zh-CN"/>
        </w:rPr>
        <w:t>为了落实环保督察反馈问题整改保证黑水县城乡</w:t>
      </w:r>
      <w:r>
        <w:rPr>
          <w:rFonts w:hint="eastAsia" w:ascii="仿宋_GB2312" w:hAnsi="仿宋_GB2312" w:eastAsia="仿宋_GB2312" w:cs="仿宋_GB2312"/>
          <w:kern w:val="0"/>
          <w:sz w:val="32"/>
          <w:szCs w:val="32"/>
          <w:lang w:val="en" w:eastAsia="zh-CN"/>
        </w:rPr>
        <w:t>生活垃圾处理中心（垃圾填埋场、热解气化站）</w:t>
      </w:r>
      <w:r>
        <w:rPr>
          <w:rFonts w:hint="eastAsia" w:ascii="仿宋_GB2312" w:hAnsi="仿宋_GB2312" w:eastAsia="仿宋_GB2312" w:cs="仿宋_GB2312"/>
          <w:kern w:val="0"/>
          <w:sz w:val="32"/>
          <w:szCs w:val="32"/>
          <w:lang w:val="en-US" w:eastAsia="zh-CN"/>
        </w:rPr>
        <w:t>正常使用和安全运行，以提高效率，降低成本达到生活垃圾无害化处理的目的。</w:t>
      </w:r>
    </w:p>
    <w:p w14:paraId="7BCBCB9B">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sz w:val="32"/>
          <w:szCs w:val="32"/>
          <w:highlight w:val="none"/>
        </w:rPr>
        <w:t>二、</w:t>
      </w:r>
      <w:r>
        <w:rPr>
          <w:rFonts w:hint="eastAsia" w:ascii="仿宋_GB2312" w:hAnsi="仿宋_GB2312" w:eastAsia="仿宋_GB2312" w:cs="仿宋_GB2312"/>
          <w:sz w:val="32"/>
          <w:szCs w:val="32"/>
          <w:highlight w:val="none"/>
          <w:lang w:eastAsia="zh-CN"/>
        </w:rPr>
        <w:t>评价实施</w:t>
      </w:r>
    </w:p>
    <w:p w14:paraId="2C5429D5">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（一）评价目的。</w:t>
      </w:r>
    </w:p>
    <w:p w14:paraId="754D45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 w:eastAsia="zh-CN"/>
        </w:rPr>
      </w:pPr>
      <w:r>
        <w:rPr>
          <w:rFonts w:hint="eastAsia" w:ascii="仿宋_GB2312" w:hAnsi="仿宋_GB2312" w:eastAsia="仿宋_GB2312" w:cs="仿宋_GB2312"/>
          <w:kern w:val="0"/>
          <w:sz w:val="32"/>
          <w:szCs w:val="32"/>
          <w:lang w:val="en" w:eastAsia="zh-CN"/>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hAnsi="仿宋_GB2312" w:eastAsia="仿宋_GB2312" w:cs="仿宋_GB2312"/>
          <w:kern w:val="0"/>
          <w:sz w:val="32"/>
          <w:szCs w:val="32"/>
          <w:lang w:val="en-US" w:eastAsia="zh-CN"/>
        </w:rPr>
        <w:t>阿坝州财政局</w:t>
      </w:r>
      <w:r>
        <w:rPr>
          <w:rFonts w:hint="eastAsia" w:ascii="仿宋_GB2312" w:hAnsi="仿宋_GB2312" w:eastAsia="仿宋_GB2312" w:cs="仿宋_GB2312"/>
          <w:kern w:val="0"/>
          <w:sz w:val="32"/>
          <w:szCs w:val="32"/>
          <w:lang w:val="en" w:eastAsia="zh-CN"/>
        </w:rPr>
        <w:t>印发《</w:t>
      </w:r>
      <w:r>
        <w:rPr>
          <w:rFonts w:hint="eastAsia" w:ascii="仿宋_GB2312" w:hAnsi="仿宋_GB2312" w:eastAsia="仿宋_GB2312" w:cs="仿宋_GB2312"/>
          <w:kern w:val="0"/>
          <w:sz w:val="32"/>
          <w:szCs w:val="32"/>
          <w:lang w:val="en-US" w:eastAsia="zh-CN"/>
        </w:rPr>
        <w:t>阿坝州财政局关于开展 2024年州级部门绩效自评工作的</w:t>
      </w:r>
      <w:r>
        <w:rPr>
          <w:rFonts w:hint="eastAsia" w:ascii="仿宋_GB2312" w:hAnsi="仿宋_GB2312" w:eastAsia="仿宋_GB2312" w:cs="仿宋_GB2312"/>
          <w:kern w:val="0"/>
          <w:sz w:val="32"/>
          <w:szCs w:val="32"/>
          <w:lang w:val="en" w:eastAsia="zh-CN"/>
        </w:rPr>
        <w:t>通知》（</w:t>
      </w:r>
      <w:r>
        <w:rPr>
          <w:rFonts w:hint="eastAsia" w:ascii="仿宋_GB2312" w:hAnsi="仿宋_GB2312" w:eastAsia="仿宋_GB2312" w:cs="仿宋_GB2312"/>
          <w:kern w:val="0"/>
          <w:sz w:val="32"/>
          <w:szCs w:val="32"/>
          <w:lang w:val="en-US" w:eastAsia="zh-CN"/>
        </w:rPr>
        <w:t>阿州财监绩〔2024〕19号</w:t>
      </w:r>
      <w:r>
        <w:rPr>
          <w:rFonts w:hint="eastAsia" w:ascii="仿宋_GB2312" w:hAnsi="仿宋_GB2312" w:eastAsia="仿宋_GB2312" w:cs="仿宋_GB2312"/>
          <w:kern w:val="0"/>
          <w:sz w:val="32"/>
          <w:szCs w:val="32"/>
          <w:lang w:val="en" w:eastAsia="zh-CN"/>
        </w:rPr>
        <w:t>），要求各部门（单位）按照州财政局制定的相关制度办法和共性绩效指标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次评价总结经验，发现问题，提出改进建议，进一步提升加强项目支出绩效管理水平、提升预算管理水平、提升项目管理水平。</w:t>
      </w:r>
    </w:p>
    <w:p w14:paraId="2AA40860">
      <w:pPr>
        <w:adjustRightInd w:val="0"/>
        <w:snapToGrid w:val="0"/>
        <w:spacing w:line="578" w:lineRule="exact"/>
        <w:ind w:firstLine="643" w:firstLineChars="20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（二）预设问题及评价重点。</w:t>
      </w:r>
      <w:r>
        <w:rPr>
          <w:rFonts w:hint="eastAsia" w:ascii="仿宋_GB2312" w:hAnsi="仿宋_GB2312" w:eastAsia="仿宋_GB2312" w:cs="仿宋_GB2312"/>
          <w:sz w:val="32"/>
          <w:szCs w:val="32"/>
        </w:rPr>
        <w:t xml:space="preserve"> </w:t>
      </w:r>
    </w:p>
    <w:p w14:paraId="5B47A5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sz w:val="32"/>
          <w:szCs w:val="32"/>
          <w:lang w:val="zh-CN"/>
        </w:rPr>
      </w:pPr>
      <w:r>
        <w:rPr>
          <w:rFonts w:hint="eastAsia" w:ascii="仿宋_GB2312" w:hAnsi="仿宋_GB2312" w:eastAsia="仿宋_GB2312" w:cs="仿宋_GB2312"/>
          <w:kern w:val="0"/>
          <w:sz w:val="32"/>
          <w:szCs w:val="32"/>
          <w:lang w:val="en" w:eastAsia="zh-CN"/>
        </w:rPr>
        <w:t>本次评价主要针对该项目的规划编制的内容完整性和项目实施工作的质量问题，结合该项目资金的使用情况来完整的体现。</w:t>
      </w:r>
    </w:p>
    <w:p w14:paraId="128AAC14">
      <w:pPr>
        <w:adjustRightInd w:val="0"/>
        <w:snapToGrid w:val="0"/>
        <w:spacing w:line="578" w:lineRule="exact"/>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（三）评价选点。</w:t>
      </w:r>
    </w:p>
    <w:p w14:paraId="71C0FF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 w:eastAsia="zh-CN"/>
        </w:rPr>
      </w:pPr>
      <w:r>
        <w:rPr>
          <w:rFonts w:hint="eastAsia" w:ascii="仿宋_GB2312" w:hAnsi="仿宋_GB2312" w:eastAsia="仿宋_GB2312" w:cs="仿宋_GB2312"/>
          <w:kern w:val="0"/>
          <w:sz w:val="32"/>
          <w:szCs w:val="32"/>
          <w:lang w:val="en-US" w:eastAsia="zh-CN" w:bidi="ar-SA"/>
        </w:rPr>
        <w:t>城镇垃圾无害化处理焚烧厂在线监测维护</w:t>
      </w:r>
      <w:r>
        <w:rPr>
          <w:rFonts w:hint="eastAsia" w:ascii="仿宋_GB2312" w:hAnsi="仿宋_GB2312" w:eastAsia="仿宋_GB2312" w:cs="仿宋_GB2312"/>
          <w:kern w:val="0"/>
          <w:sz w:val="32"/>
          <w:szCs w:val="32"/>
          <w:lang w:val="en" w:eastAsia="zh-CN"/>
        </w:rPr>
        <w:t>项目开展工作地点为黑水县，本次绩效评价主体为</w:t>
      </w:r>
      <w:r>
        <w:rPr>
          <w:rFonts w:hint="eastAsia" w:ascii="仿宋_GB2312" w:hAnsi="仿宋_GB2312" w:eastAsia="仿宋_GB2312" w:cs="仿宋_GB2312"/>
          <w:kern w:val="0"/>
          <w:sz w:val="32"/>
          <w:szCs w:val="32"/>
          <w:lang w:val="en-US" w:eastAsia="zh-CN"/>
        </w:rPr>
        <w:t>黑水县</w:t>
      </w:r>
      <w:r>
        <w:rPr>
          <w:rFonts w:hint="eastAsia" w:ascii="仿宋_GB2312" w:hAnsi="仿宋_GB2312" w:eastAsia="仿宋_GB2312" w:cs="仿宋_GB2312"/>
          <w:kern w:val="0"/>
          <w:sz w:val="32"/>
          <w:szCs w:val="32"/>
          <w:lang w:val="en" w:eastAsia="zh-CN"/>
        </w:rPr>
        <w:t>财政局，项目不涉及其他点位。</w:t>
      </w:r>
    </w:p>
    <w:p w14:paraId="695D6F34">
      <w:pPr>
        <w:keepNext w:val="0"/>
        <w:keepLines w:val="0"/>
        <w:pageBreakBefore w:val="0"/>
        <w:widowControl w:val="0"/>
        <w:numPr>
          <w:ilvl w:val="0"/>
          <w:numId w:val="2"/>
        </w:numPr>
        <w:kinsoku/>
        <w:wordWrap/>
        <w:overflowPunct/>
        <w:topLinePunct w:val="0"/>
        <w:autoSpaceDE/>
        <w:autoSpaceDN/>
        <w:bidi w:val="0"/>
        <w:spacing w:line="578" w:lineRule="exact"/>
        <w:ind w:left="0" w:leftChars="0" w:firstLine="643" w:firstLineChars="200"/>
        <w:textAlignment w:val="auto"/>
        <w:outlineLvl w:val="9"/>
        <w:rPr>
          <w:rFonts w:hint="eastAsia" w:ascii="仿宋_GB2312" w:hAnsi="仿宋_GB2312" w:eastAsia="仿宋_GB2312" w:cs="仿宋_GB2312"/>
          <w:b/>
          <w:color w:val="auto"/>
          <w:sz w:val="32"/>
          <w:szCs w:val="32"/>
          <w:highlight w:val="none"/>
          <w:u w:val="none"/>
          <w:lang w:val="zh-CN"/>
        </w:rPr>
      </w:pPr>
      <w:r>
        <w:rPr>
          <w:rFonts w:hint="eastAsia" w:ascii="仿宋_GB2312" w:hAnsi="仿宋_GB2312" w:eastAsia="仿宋_GB2312" w:cs="仿宋_GB2312"/>
          <w:b/>
          <w:color w:val="auto"/>
          <w:sz w:val="32"/>
          <w:szCs w:val="32"/>
          <w:highlight w:val="none"/>
          <w:u w:val="none"/>
          <w:lang w:val="zh-CN"/>
        </w:rPr>
        <w:t>评价方法。</w:t>
      </w:r>
    </w:p>
    <w:p w14:paraId="6C9AE9E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采用先进的绩效评价方法和科学的数据分析是取得正确客观评价结论的重要保障，评价组从以下方法中择优组织，对项目实施评价，通过定量和定性分析得出评价结论。</w:t>
      </w:r>
    </w:p>
    <w:p w14:paraId="7BE3721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1.比较分析法。是指通过对绩效目标与实施效果、历史与当期情况、不同部门和地区同类支出的比较，综合分析绩效目标实现程度。</w:t>
      </w:r>
    </w:p>
    <w:p w14:paraId="24A164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2.因素分析法。是指通过综合分析影响绩效目标实现、实施效果的内外因素，评价绩效目标实现程度。</w:t>
      </w:r>
    </w:p>
    <w:p w14:paraId="75C5A80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3.最低成本分析法。是指对效益确定却不易计量的多个同类对象的实施成本进行比较，评价绩效目标实现程度。</w:t>
      </w:r>
    </w:p>
    <w:p w14:paraId="1828ED6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4.双重交叉分析法。通过对项目建设前后的比较，根据成效等方面去寻找和分析政策产生的影响。</w:t>
      </w:r>
    </w:p>
    <w:p w14:paraId="1090E3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5.随机访谈法。针对部分项目负责人及实施主体进行了询问和访谈，如项目实施情况的必要性、可行性和满意度等进行随机访谈。</w:t>
      </w:r>
    </w:p>
    <w:p w14:paraId="1A738A94">
      <w:pPr>
        <w:spacing w:line="578" w:lineRule="exact"/>
        <w:ind w:firstLine="640"/>
        <w:rPr>
          <w:rFonts w:hint="eastAsia" w:ascii="仿宋_GB2312" w:hAnsi="仿宋_GB2312" w:eastAsia="仿宋_GB2312" w:cs="仿宋_GB2312"/>
          <w:bCs/>
          <w:sz w:val="32"/>
          <w:szCs w:val="32"/>
        </w:rPr>
      </w:pPr>
      <w:r>
        <w:rPr>
          <w:rFonts w:hint="eastAsia" w:ascii="仿宋_GB2312" w:hAnsi="仿宋_GB2312" w:eastAsia="仿宋_GB2312" w:cs="仿宋_GB2312"/>
          <w:b/>
          <w:sz w:val="32"/>
          <w:szCs w:val="32"/>
          <w:lang w:val="zh-CN"/>
        </w:rPr>
        <w:t>（五）评价组织。</w:t>
      </w:r>
    </w:p>
    <w:p w14:paraId="051D69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1.领导小组职责：</w:t>
      </w:r>
    </w:p>
    <w:p w14:paraId="46CFA7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（1）研究和决定同级政府公共事业管理绩效评价中的重大问题。</w:t>
      </w:r>
    </w:p>
    <w:p w14:paraId="20F8A8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（2）组织协调绩效评价工作，确保评价的顺利进行。</w:t>
      </w:r>
    </w:p>
    <w:p w14:paraId="6DD7F21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（3）对各单位的工作目标、绩效考核结果和等次、奖惩方案进行审核，并报同级党委和政府审定。</w:t>
      </w:r>
    </w:p>
    <w:p w14:paraId="1112E8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2.办公室职责：</w:t>
      </w:r>
    </w:p>
    <w:p w14:paraId="60480D9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（1）提出全省（市、县）政府公共事业管理绩效评价的工作方案，并负责具体组织实施。</w:t>
      </w:r>
    </w:p>
    <w:p w14:paraId="6DE76F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（2）综合评价信息，提出评价结果等次认定方案及奖惩方案等。</w:t>
      </w:r>
    </w:p>
    <w:p w14:paraId="78994A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（3）负责绩效评价的日常工作，包括宣传、沟通、协调等。</w:t>
      </w:r>
    </w:p>
    <w:p w14:paraId="47946B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（4）根据评价结果撰写绩效评价报告，并递交给领导小组。</w:t>
      </w:r>
    </w:p>
    <w:p w14:paraId="2EBFCD9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3.具体执行人员职责：</w:t>
      </w:r>
    </w:p>
    <w:p w14:paraId="11CBE52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（1）组长：审批绩效自评方案，监督、检查、核实绩效自评。</w:t>
      </w:r>
    </w:p>
    <w:p w14:paraId="08D95B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（2）副组长：审核修改拟定的绩效自评方案，并提交考评工作组会议讨论通过；监督、部署、确认绩效自评过程及反馈意见的处理。</w:t>
      </w:r>
    </w:p>
    <w:p w14:paraId="3C407C1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小组成员：起草和修改绩效考评方案报自评领导工作组会议讨论通过，实施执行绩效自评方案；牵头组织并实施年度绩效自评，根据组长、副组长指示，对考评结果进行复核，完成绩效自核工作组安排的其他工作。</w:t>
      </w:r>
    </w:p>
    <w:p w14:paraId="2D992637">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hint="eastAsia" w:ascii="仿宋_GB2312" w:hAnsi="仿宋_GB2312" w:eastAsia="仿宋_GB2312" w:cs="仿宋_GB2312"/>
          <w:color w:val="auto"/>
          <w:sz w:val="32"/>
          <w:szCs w:val="32"/>
          <w:highlight w:val="none"/>
          <w:u w:val="none"/>
          <w:lang w:val="zh-CN"/>
        </w:rPr>
      </w:pPr>
      <w:r>
        <w:rPr>
          <w:rFonts w:hint="eastAsia" w:ascii="仿宋_GB2312" w:hAnsi="仿宋_GB2312" w:eastAsia="仿宋_GB2312" w:cs="仿宋_GB2312"/>
          <w:color w:val="auto"/>
          <w:sz w:val="32"/>
          <w:szCs w:val="32"/>
          <w:highlight w:val="none"/>
          <w:u w:val="none"/>
        </w:rPr>
        <w:t>三、</w:t>
      </w:r>
      <w:r>
        <w:rPr>
          <w:rFonts w:hint="eastAsia" w:ascii="仿宋_GB2312" w:hAnsi="仿宋_GB2312" w:eastAsia="仿宋_GB2312" w:cs="仿宋_GB2312"/>
          <w:color w:val="auto"/>
          <w:sz w:val="32"/>
          <w:szCs w:val="32"/>
          <w:highlight w:val="none"/>
          <w:u w:val="none"/>
          <w:lang w:eastAsia="zh-CN"/>
        </w:rPr>
        <w:t>绩效分析</w:t>
      </w:r>
      <w:r>
        <w:rPr>
          <w:rFonts w:hint="eastAsia" w:ascii="仿宋_GB2312" w:hAnsi="仿宋_GB2312" w:eastAsia="仿宋_GB2312" w:cs="仿宋_GB2312"/>
          <w:color w:val="auto"/>
          <w:sz w:val="32"/>
          <w:szCs w:val="32"/>
          <w:highlight w:val="none"/>
          <w:u w:val="none"/>
          <w:lang w:val="zh-CN"/>
        </w:rPr>
        <w:tab/>
      </w:r>
    </w:p>
    <w:p w14:paraId="050CEBAD">
      <w:pPr>
        <w:spacing w:line="578" w:lineRule="exact"/>
        <w:ind w:firstLine="64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lang w:val="zh-CN"/>
        </w:rPr>
        <w:t>（一）</w:t>
      </w:r>
      <w:r>
        <w:rPr>
          <w:rFonts w:hint="eastAsia" w:ascii="仿宋_GB2312" w:hAnsi="仿宋_GB2312" w:eastAsia="仿宋_GB2312" w:cs="仿宋_GB2312"/>
          <w:b/>
          <w:sz w:val="32"/>
          <w:szCs w:val="32"/>
        </w:rPr>
        <w:t>通用指标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3F37FA54">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1.项目决策。</w:t>
      </w:r>
    </w:p>
    <w:p w14:paraId="3002DD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（1）决策程序</w:t>
      </w:r>
    </w:p>
    <w:p w14:paraId="7A0A7B5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项目设立、调整延续等方面符合资金管理基本规范和决策程序要求，该项指标得分6分。</w:t>
      </w:r>
    </w:p>
    <w:p w14:paraId="2D8FCD2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（2）规划论证</w:t>
      </w:r>
    </w:p>
    <w:p w14:paraId="5BE7F8D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项目规划符合中央、省委省政府有关决策部署安排，项目充分评估论证了立项必要性、前瞻性、合理性和可行性。项目总体绩效目标设置合理性的偏离度≤15%，绩效目标科学合理、规范完整、量化细化、预算匹配，该项指标得分</w:t>
      </w:r>
      <w:r>
        <w:rPr>
          <w:rFonts w:hint="eastAsia" w:ascii="仿宋_GB2312" w:hAnsi="仿宋_GB2312" w:eastAsia="仿宋_GB2312" w:cs="仿宋_GB2312"/>
          <w:kern w:val="0"/>
          <w:sz w:val="32"/>
          <w:szCs w:val="32"/>
          <w:lang w:val="en-US" w:eastAsia="zh-CN"/>
        </w:rPr>
        <w:t>5</w:t>
      </w:r>
      <w:r>
        <w:rPr>
          <w:rFonts w:hint="eastAsia" w:ascii="仿宋_GB2312" w:hAnsi="仿宋_GB2312" w:eastAsia="仿宋_GB2312" w:cs="仿宋_GB2312"/>
          <w:kern w:val="0"/>
          <w:sz w:val="32"/>
          <w:szCs w:val="32"/>
          <w:lang w:val="zh-CN" w:eastAsia="zh-CN"/>
        </w:rPr>
        <w:t>分。</w:t>
      </w:r>
    </w:p>
    <w:p w14:paraId="4BC8A9B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（3）资金投向</w:t>
      </w:r>
    </w:p>
    <w:p w14:paraId="27F99FB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zh-CN" w:eastAsia="zh-CN"/>
        </w:rPr>
        <w:t>项目属于政府支持范围，且符合财政事权支出责任划分规定，资金投向与项目总体规划、相关行业事业发展相匹配，聚焦重大任务、重点领域、重点环节和重点项目，体现“集中力量办大事”原则，避免“撒胡椒面”，未与其他同类项目或部门内部相关项目交叉重复，该项指标得分6分。</w:t>
      </w:r>
    </w:p>
    <w:p w14:paraId="26CFFBF7">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2.项目管理。</w:t>
      </w:r>
    </w:p>
    <w:p w14:paraId="218C7C8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（1）制度办法</w:t>
      </w:r>
    </w:p>
    <w:p w14:paraId="767BB5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资金管理办法等管理制度体系健全完善，不存在管理制度缺失、管理办法过期情况</w:t>
      </w:r>
      <w:r>
        <w:rPr>
          <w:rFonts w:hint="eastAsia" w:ascii="仿宋_GB2312" w:hAnsi="仿宋_GB2312" w:eastAsia="仿宋_GB2312" w:cs="仿宋_GB2312"/>
          <w:kern w:val="0"/>
          <w:sz w:val="32"/>
          <w:szCs w:val="32"/>
          <w:lang w:val="zh-CN" w:eastAsia="zh-CN"/>
        </w:rPr>
        <w:t>，该项指标得分</w:t>
      </w:r>
      <w:r>
        <w:rPr>
          <w:rFonts w:hint="eastAsia" w:ascii="仿宋_GB2312" w:hAnsi="仿宋_GB2312" w:eastAsia="仿宋_GB2312" w:cs="仿宋_GB2312"/>
          <w:kern w:val="0"/>
          <w:sz w:val="32"/>
          <w:szCs w:val="32"/>
          <w:lang w:val="en-US" w:eastAsia="zh-CN"/>
        </w:rPr>
        <w:t>2</w:t>
      </w:r>
      <w:r>
        <w:rPr>
          <w:rFonts w:hint="eastAsia" w:ascii="仿宋_GB2312" w:hAnsi="仿宋_GB2312" w:eastAsia="仿宋_GB2312" w:cs="仿宋_GB2312"/>
          <w:kern w:val="0"/>
          <w:sz w:val="32"/>
          <w:szCs w:val="32"/>
          <w:lang w:val="zh-CN" w:eastAsia="zh-CN"/>
        </w:rPr>
        <w:t>分。</w:t>
      </w:r>
    </w:p>
    <w:p w14:paraId="2A60ED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（2）分配管理</w:t>
      </w:r>
    </w:p>
    <w:p w14:paraId="79C29A3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分10分。</w:t>
      </w:r>
    </w:p>
    <w:p w14:paraId="15918F1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（3）绩效监管</w:t>
      </w:r>
    </w:p>
    <w:p w14:paraId="37DE1AF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项目按中央、省委要求全面完成绩效目标、绩效评价、以前年度问题整改等预算绩效管理工作；省级部门对市县主管部门预算绩效管理要求到位，不存在对市县资金分配和项目管理指导力度不够的情况，对市县开展了评价、监督、指导等工作，该项指标得分6分。</w:t>
      </w:r>
    </w:p>
    <w:p w14:paraId="71DCDBAF">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3.项目实施。围绕、进行绩效分析。</w:t>
      </w:r>
    </w:p>
    <w:p w14:paraId="1040FB4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（1）预算执行</w:t>
      </w:r>
    </w:p>
    <w:p w14:paraId="3EE0C8E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en-US" w:eastAsia="zh-CN"/>
        </w:rPr>
        <w:t>财政资金已按照要求拨付完毕，拨付率100%，该项指标得分=财政资金拨付率×100%×6=6分。</w:t>
      </w:r>
    </w:p>
    <w:p w14:paraId="25257D6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（2）资金使用</w:t>
      </w:r>
    </w:p>
    <w:p w14:paraId="12807CE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项目资金使用、拨付符合国家财经法规、财务管理制度及有关专项资金管理制度办法规定和审批程序，不存在超范围、超标准、超进度使用专项资金，不存在资金损失浪费、长期沉淀、截留、挤占、挪用、虚列支出等，项目实施遵守相关法律法规，该项指标得分3分。</w:t>
      </w:r>
    </w:p>
    <w:p w14:paraId="58FEF013">
      <w:pPr>
        <w:spacing w:line="578" w:lineRule="exact"/>
        <w:ind w:left="420" w:left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4.项目结果。</w:t>
      </w:r>
    </w:p>
    <w:p w14:paraId="57FF7FA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（1）目标完成：项目完成预期目标，实施结果与绩效目标相匹配，该项指标得分6分。</w:t>
      </w:r>
    </w:p>
    <w:p w14:paraId="4318654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（2）完成时效：项目实际完成时间与计划完成时间相符，该项指标得分3分。</w:t>
      </w:r>
    </w:p>
    <w:p w14:paraId="52771B73">
      <w:pPr>
        <w:spacing w:line="578" w:lineRule="exact"/>
        <w:ind w:firstLine="643" w:firstLineChars="200"/>
        <w:rPr>
          <w:rFonts w:hint="eastAsia" w:ascii="仿宋_GB2312" w:hAnsi="仿宋_GB2312" w:eastAsia="仿宋_GB2312" w:cs="仿宋_GB2312"/>
          <w:sz w:val="32"/>
          <w:szCs w:val="32"/>
          <w:lang w:val="zh-CN"/>
        </w:rPr>
      </w:pPr>
      <w:r>
        <w:rPr>
          <w:rFonts w:hint="eastAsia" w:ascii="仿宋_GB2312" w:hAnsi="仿宋_GB2312" w:eastAsia="仿宋_GB2312" w:cs="仿宋_GB2312"/>
          <w:b/>
          <w:sz w:val="32"/>
          <w:szCs w:val="32"/>
          <w:lang w:val="zh-CN"/>
        </w:rPr>
        <w:t>（二）</w:t>
      </w:r>
      <w:r>
        <w:rPr>
          <w:rFonts w:hint="eastAsia" w:ascii="仿宋_GB2312" w:hAnsi="仿宋_GB2312" w:eastAsia="仿宋_GB2312" w:cs="仿宋_GB2312"/>
          <w:b/>
          <w:sz w:val="32"/>
          <w:szCs w:val="32"/>
        </w:rPr>
        <w:t>专用指标</w:t>
      </w:r>
      <w:r>
        <w:rPr>
          <w:rFonts w:hint="eastAsia" w:ascii="仿宋_GB2312" w:hAnsi="仿宋_GB2312" w:eastAsia="仿宋_GB2312" w:cs="仿宋_GB2312"/>
          <w:b/>
          <w:bCs/>
          <w:color w:val="000000"/>
          <w:kern w:val="0"/>
          <w:sz w:val="32"/>
          <w:szCs w:val="32"/>
          <w:shd w:val="clear" w:color="auto" w:fill="FFFFFF"/>
          <w:lang w:val="zh-CN"/>
        </w:rPr>
        <w:t>绩效分析。</w:t>
      </w:r>
    </w:p>
    <w:p w14:paraId="36CED84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民生保障。资金分配科学合理、均衡公平，资金实际支持对象符合管理要求，符合支持对象范围，资金实际补贴标准符合资金管理办法规定的补助标准，及时按标准兑现，民众满意度较高，该项指标得分30分。</w:t>
      </w:r>
    </w:p>
    <w:p w14:paraId="76A04A88">
      <w:pPr>
        <w:spacing w:line="578"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b/>
          <w:sz w:val="32"/>
          <w:szCs w:val="32"/>
          <w:lang w:val="zh-CN"/>
        </w:rPr>
        <w:t>（三）</w:t>
      </w:r>
      <w:r>
        <w:rPr>
          <w:rFonts w:hint="eastAsia" w:ascii="仿宋_GB2312" w:hAnsi="仿宋_GB2312" w:eastAsia="仿宋_GB2312" w:cs="仿宋_GB2312"/>
          <w:b/>
          <w:sz w:val="32"/>
          <w:szCs w:val="32"/>
        </w:rPr>
        <w:t>个性指标</w:t>
      </w:r>
      <w:r>
        <w:rPr>
          <w:rFonts w:hint="eastAsia" w:ascii="仿宋_GB2312" w:hAnsi="仿宋_GB2312" w:eastAsia="仿宋_GB2312" w:cs="仿宋_GB2312"/>
          <w:b/>
          <w:bCs/>
          <w:color w:val="000000"/>
          <w:kern w:val="0"/>
          <w:sz w:val="32"/>
          <w:szCs w:val="32"/>
          <w:shd w:val="clear" w:color="auto" w:fill="FFFFFF"/>
          <w:lang w:val="zh-CN"/>
        </w:rPr>
        <w:t>绩效分析。</w:t>
      </w:r>
    </w:p>
    <w:p w14:paraId="2DE7A4C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项目已如期建成，资金已按期拨付，项目实施后已达到预期效果，该项指标得分16分。</w:t>
      </w:r>
    </w:p>
    <w:p w14:paraId="56C948D7">
      <w:pPr>
        <w:pStyle w:val="4"/>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四、评价结论</w:t>
      </w:r>
    </w:p>
    <w:p w14:paraId="7D62901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r>
        <w:rPr>
          <w:rFonts w:hint="eastAsia" w:ascii="仿宋_GB2312" w:hAnsi="仿宋_GB2312" w:eastAsia="仿宋_GB2312" w:cs="仿宋_GB2312"/>
          <w:kern w:val="0"/>
          <w:sz w:val="32"/>
          <w:szCs w:val="32"/>
          <w:lang w:val="zh-CN" w:eastAsia="zh-CN"/>
        </w:rPr>
        <w:t>我单位严格按照绩效自评工作要求，秉承客观公正、实事求是的原则开展了</w:t>
      </w:r>
      <w:r>
        <w:rPr>
          <w:rFonts w:hint="eastAsia" w:ascii="仿宋_GB2312" w:hAnsi="仿宋_GB2312" w:eastAsia="仿宋_GB2312" w:cs="仿宋_GB2312"/>
          <w:kern w:val="0"/>
          <w:sz w:val="32"/>
          <w:szCs w:val="32"/>
          <w:lang w:val="en-US" w:eastAsia="zh-CN" w:bidi="ar-SA"/>
        </w:rPr>
        <w:t>城镇垃圾无害化处理焚烧厂在线监测维护项目</w:t>
      </w:r>
      <w:r>
        <w:rPr>
          <w:rFonts w:hint="eastAsia" w:ascii="仿宋_GB2312" w:hAnsi="仿宋_GB2312" w:eastAsia="仿宋_GB2312" w:cs="仿宋_GB2312"/>
          <w:kern w:val="0"/>
          <w:sz w:val="32"/>
          <w:szCs w:val="32"/>
          <w:lang w:val="zh-CN" w:eastAsia="zh-CN"/>
        </w:rPr>
        <w:t>支出绩效自评工作，经对各类指标进行评分和汇总分析，</w:t>
      </w:r>
      <w:r>
        <w:rPr>
          <w:rFonts w:hint="eastAsia" w:ascii="仿宋_GB2312" w:hAnsi="仿宋_GB2312" w:eastAsia="仿宋_GB2312" w:cs="仿宋_GB2312"/>
          <w:kern w:val="0"/>
          <w:sz w:val="32"/>
          <w:szCs w:val="32"/>
          <w:lang w:val="en-US" w:eastAsia="zh-CN"/>
        </w:rPr>
        <w:t>垃圾焚烧厂及在线监测系统提升改造</w:t>
      </w:r>
      <w:r>
        <w:rPr>
          <w:rFonts w:hint="eastAsia" w:ascii="仿宋_GB2312" w:hAnsi="仿宋_GB2312" w:eastAsia="仿宋_GB2312" w:cs="仿宋_GB2312"/>
          <w:kern w:val="0"/>
          <w:sz w:val="32"/>
          <w:szCs w:val="32"/>
          <w:lang w:val="zh-CN" w:eastAsia="zh-CN"/>
        </w:rPr>
        <w:t>支出绩效评价综合得分</w:t>
      </w:r>
      <w:r>
        <w:rPr>
          <w:rFonts w:hint="eastAsia" w:ascii="仿宋_GB2312" w:hAnsi="仿宋_GB2312" w:eastAsia="仿宋_GB2312" w:cs="仿宋_GB2312"/>
          <w:kern w:val="0"/>
          <w:sz w:val="32"/>
          <w:szCs w:val="32"/>
          <w:lang w:val="en-US" w:eastAsia="zh-CN"/>
        </w:rPr>
        <w:t>99</w:t>
      </w:r>
      <w:r>
        <w:rPr>
          <w:rFonts w:hint="eastAsia" w:ascii="仿宋_GB2312" w:hAnsi="仿宋_GB2312" w:eastAsia="仿宋_GB2312" w:cs="仿宋_GB2312"/>
          <w:kern w:val="0"/>
          <w:sz w:val="32"/>
          <w:szCs w:val="32"/>
          <w:lang w:val="zh-CN" w:eastAsia="zh-CN"/>
        </w:rPr>
        <w:t>分。评价结果显示，</w:t>
      </w:r>
      <w:r>
        <w:rPr>
          <w:rFonts w:hint="eastAsia" w:ascii="仿宋_GB2312" w:hAnsi="仿宋_GB2312" w:eastAsia="仿宋_GB2312" w:cs="仿宋_GB2312"/>
          <w:kern w:val="0"/>
          <w:sz w:val="32"/>
          <w:szCs w:val="32"/>
          <w:lang w:val="en-US" w:eastAsia="zh-CN" w:bidi="ar-SA"/>
        </w:rPr>
        <w:t>城镇垃圾无害化处理焚烧厂在线监测维护</w:t>
      </w:r>
      <w:r>
        <w:rPr>
          <w:rFonts w:hint="eastAsia" w:ascii="仿宋_GB2312" w:hAnsi="仿宋_GB2312" w:eastAsia="仿宋_GB2312" w:cs="仿宋_GB2312"/>
          <w:kern w:val="0"/>
          <w:sz w:val="32"/>
          <w:szCs w:val="32"/>
          <w:lang w:val="zh-CN" w:eastAsia="zh-CN"/>
        </w:rPr>
        <w:t>项目按照相关规定进行使用和管理，程序较为规范，项目支出使用效益达到预期。</w:t>
      </w:r>
    </w:p>
    <w:p w14:paraId="7C12474C">
      <w:pPr>
        <w:pStyle w:val="4"/>
        <w:spacing w:line="60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五、存在主要问题</w:t>
      </w:r>
    </w:p>
    <w:p w14:paraId="53A6B87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根据项目单位提供的《项目绩效目标申报表》和《项目支出绩效目标自评表》，绩效目标申报表整体框架完成，内容充分，指标设置内容基本完整反映了项目建设情况，但存在指标名称描述不规范，绩效指标与绩效值不匹配等问题。</w:t>
      </w:r>
    </w:p>
    <w:p w14:paraId="2EFEFBAC">
      <w:pPr>
        <w:pStyle w:val="4"/>
        <w:spacing w:line="600" w:lineRule="exact"/>
        <w:ind w:firstLine="640" w:firstLineChars="200"/>
        <w:rPr>
          <w:rFonts w:hint="eastAsia" w:ascii="仿宋_GB2312" w:hAnsi="仿宋_GB2312" w:eastAsia="仿宋_GB2312" w:cs="仿宋_GB2312"/>
          <w:sz w:val="32"/>
          <w:szCs w:val="32"/>
          <w:lang w:val="zh-CN" w:eastAsia="zh-CN"/>
        </w:rPr>
      </w:pPr>
      <w:r>
        <w:rPr>
          <w:rFonts w:hint="eastAsia" w:ascii="仿宋_GB2312" w:hAnsi="仿宋_GB2312" w:eastAsia="仿宋_GB2312" w:cs="仿宋_GB2312"/>
          <w:sz w:val="32"/>
          <w:szCs w:val="32"/>
          <w:lang w:val="zh-CN" w:eastAsia="zh-CN"/>
        </w:rPr>
        <w:t>六、改进建议</w:t>
      </w:r>
    </w:p>
    <w:p w14:paraId="3433025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zh-CN" w:eastAsia="zh-CN"/>
        </w:rPr>
      </w:pPr>
      <w:bookmarkStart w:id="0" w:name="_Hlk110546638"/>
      <w:r>
        <w:rPr>
          <w:rFonts w:hint="eastAsia" w:ascii="仿宋_GB2312" w:hAnsi="仿宋_GB2312" w:eastAsia="仿宋_GB2312" w:cs="仿宋_GB2312"/>
          <w:kern w:val="0"/>
          <w:sz w:val="32"/>
          <w:szCs w:val="32"/>
          <w:lang w:val="en-US" w:eastAsia="zh-CN"/>
        </w:rPr>
        <w:t>加强全过程绩效管理，建议项目单位按照县财政局关于预算绩效管理相关文件要求，加强绩效目标管理，设定指向明确、细化量化、合理可行、相应匹配的绩效目标，并在实施过程中加强监管，确保绩效目标能够按计划完成</w:t>
      </w:r>
      <w:bookmarkEnd w:id="0"/>
      <w:r>
        <w:rPr>
          <w:rFonts w:hint="eastAsia" w:ascii="仿宋_GB2312" w:hAnsi="仿宋_GB2312" w:eastAsia="仿宋_GB2312" w:cs="仿宋_GB2312"/>
          <w:kern w:val="0"/>
          <w:sz w:val="32"/>
          <w:szCs w:val="32"/>
          <w:lang w:val="en-US" w:eastAsia="zh-CN"/>
        </w:rPr>
        <w:t>。</w:t>
      </w:r>
    </w:p>
    <w:p w14:paraId="2B294E4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附表：1.专项预算绩效自评打分表</w:t>
      </w:r>
    </w:p>
    <w:p w14:paraId="0569479C">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2.专项预算绩效自评实地踏勘点位清单表</w:t>
      </w:r>
    </w:p>
    <w:p w14:paraId="14AB1EAA">
      <w:pPr>
        <w:keepNext w:val="0"/>
        <w:keepLines w:val="0"/>
        <w:pageBreakBefore w:val="0"/>
        <w:widowControl w:val="0"/>
        <w:kinsoku/>
        <w:wordWrap/>
        <w:overflowPunct/>
        <w:topLinePunct w:val="0"/>
        <w:autoSpaceDE/>
        <w:autoSpaceDN/>
        <w:bidi w:val="0"/>
        <w:adjustRightInd/>
        <w:snapToGrid/>
        <w:spacing w:line="560" w:lineRule="exact"/>
        <w:ind w:firstLine="1600" w:firstLineChars="500"/>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3.专项预算项目绩效目标完成情况自评表</w:t>
      </w:r>
    </w:p>
    <w:p w14:paraId="1A750447">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cs="Times New Roman"/>
          <w:color w:val="000000"/>
          <w:kern w:val="0"/>
          <w:szCs w:val="32"/>
          <w:highlight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t>1</w:t>
      </w:r>
    </w:p>
    <w:p w14:paraId="1AA72133">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eastAsia" w:ascii="Times New Roman" w:hAnsi="Times New Roman" w:eastAsia="方正小标宋_GBK" w:cs="Times New Roman"/>
          <w:b w:val="0"/>
          <w:bCs w:val="0"/>
          <w:color w:val="auto"/>
          <w:sz w:val="40"/>
          <w:szCs w:val="40"/>
          <w:highlight w:val="none"/>
          <w:u w:val="none"/>
          <w:lang w:val="en-US" w:eastAsia="zh-CN"/>
        </w:rPr>
        <w:t>专项</w:t>
      </w:r>
      <w:r>
        <w:rPr>
          <w:rFonts w:hint="default" w:ascii="Times New Roman" w:hAnsi="Times New Roman" w:eastAsia="方正小标宋_GBK" w:cs="Times New Roman"/>
          <w:b w:val="0"/>
          <w:bCs w:val="0"/>
          <w:color w:val="auto"/>
          <w:sz w:val="40"/>
          <w:szCs w:val="40"/>
          <w:highlight w:val="none"/>
          <w:u w:val="none"/>
          <w:lang w:val="en-US" w:eastAsia="zh-CN"/>
        </w:rPr>
        <w:t>预算绩效自评打分表</w:t>
      </w:r>
    </w:p>
    <w:tbl>
      <w:tblPr>
        <w:tblStyle w:val="9"/>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766"/>
        <w:gridCol w:w="1188"/>
        <w:gridCol w:w="712"/>
        <w:gridCol w:w="5550"/>
        <w:gridCol w:w="732"/>
        <w:gridCol w:w="468"/>
      </w:tblGrid>
      <w:tr w14:paraId="7FF118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0" w:hRule="atLeast"/>
          <w:jc w:val="center"/>
        </w:trPr>
        <w:tc>
          <w:tcPr>
            <w:tcW w:w="4151" w:type="dxa"/>
            <w:gridSpan w:val="5"/>
            <w:tcBorders>
              <w:top w:val="single" w:color="000000" w:sz="4" w:space="0"/>
              <w:left w:val="single" w:color="000000" w:sz="4" w:space="0"/>
              <w:bottom w:val="nil"/>
              <w:right w:val="nil"/>
            </w:tcBorders>
            <w:noWrap w:val="0"/>
            <w:vAlign w:val="center"/>
          </w:tcPr>
          <w:p w14:paraId="6714441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绩效评价指标</w:t>
            </w:r>
          </w:p>
        </w:tc>
        <w:tc>
          <w:tcPr>
            <w:tcW w:w="5550" w:type="dxa"/>
            <w:vMerge w:val="restart"/>
            <w:tcBorders>
              <w:top w:val="single" w:color="000000" w:sz="4" w:space="0"/>
              <w:left w:val="single" w:color="000000" w:sz="4" w:space="0"/>
              <w:bottom w:val="single" w:color="000000" w:sz="4" w:space="0"/>
              <w:right w:val="single" w:color="000000" w:sz="4" w:space="0"/>
            </w:tcBorders>
            <w:noWrap w:val="0"/>
            <w:vAlign w:val="center"/>
          </w:tcPr>
          <w:p w14:paraId="0C734E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指标解释</w:t>
            </w:r>
          </w:p>
        </w:tc>
        <w:tc>
          <w:tcPr>
            <w:tcW w:w="732" w:type="dxa"/>
            <w:vMerge w:val="restart"/>
            <w:tcBorders>
              <w:top w:val="single" w:color="000000" w:sz="4" w:space="0"/>
              <w:left w:val="single" w:color="000000" w:sz="4" w:space="0"/>
              <w:right w:val="single" w:color="000000" w:sz="4" w:space="0"/>
            </w:tcBorders>
            <w:noWrap w:val="0"/>
            <w:vAlign w:val="center"/>
          </w:tcPr>
          <w:p w14:paraId="6DC17D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自评得分</w:t>
            </w:r>
          </w:p>
        </w:tc>
        <w:tc>
          <w:tcPr>
            <w:tcW w:w="468" w:type="dxa"/>
            <w:vMerge w:val="restart"/>
            <w:tcBorders>
              <w:top w:val="single" w:color="000000" w:sz="4" w:space="0"/>
              <w:left w:val="single" w:color="000000" w:sz="4" w:space="0"/>
              <w:right w:val="single" w:color="000000" w:sz="4" w:space="0"/>
            </w:tcBorders>
            <w:noWrap w:val="0"/>
            <w:vAlign w:val="center"/>
          </w:tcPr>
          <w:p w14:paraId="1866035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kern w:val="0"/>
                <w:sz w:val="24"/>
                <w:szCs w:val="24"/>
                <w:u w:val="none"/>
                <w:lang w:val="en-US" w:eastAsia="zh-CN" w:bidi="ar"/>
              </w:rPr>
            </w:pPr>
            <w:r>
              <w:rPr>
                <w:rFonts w:hint="eastAsia" w:ascii="黑体" w:hAnsi="宋体" w:eastAsia="黑体" w:cs="黑体"/>
                <w:i w:val="0"/>
                <w:color w:val="000000"/>
                <w:kern w:val="0"/>
                <w:sz w:val="24"/>
                <w:szCs w:val="24"/>
                <w:u w:val="none"/>
                <w:lang w:val="en-US" w:eastAsia="zh-CN" w:bidi="ar"/>
              </w:rPr>
              <w:t>备注</w:t>
            </w:r>
          </w:p>
        </w:tc>
      </w:tr>
      <w:tr w14:paraId="6BB7E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0"/>
            <w:vAlign w:val="center"/>
          </w:tcPr>
          <w:p w14:paraId="1D9AA9A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一级指标</w:t>
            </w:r>
          </w:p>
        </w:tc>
        <w:tc>
          <w:tcPr>
            <w:tcW w:w="1531" w:type="dxa"/>
            <w:gridSpan w:val="2"/>
            <w:tcBorders>
              <w:top w:val="single" w:color="000000" w:sz="4" w:space="0"/>
              <w:left w:val="single" w:color="000000" w:sz="4" w:space="0"/>
              <w:bottom w:val="single" w:color="000000" w:sz="4" w:space="0"/>
              <w:right w:val="single" w:color="000000" w:sz="4" w:space="0"/>
            </w:tcBorders>
            <w:noWrap w:val="0"/>
            <w:vAlign w:val="center"/>
          </w:tcPr>
          <w:p w14:paraId="72481C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二级指标</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33169B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三级指标</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960B9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黑体" w:hAnsi="宋体" w:eastAsia="黑体" w:cs="黑体"/>
                <w:i w:val="0"/>
                <w:color w:val="000000"/>
                <w:sz w:val="24"/>
                <w:szCs w:val="24"/>
                <w:u w:val="none"/>
              </w:rPr>
            </w:pPr>
            <w:r>
              <w:rPr>
                <w:rFonts w:hint="eastAsia" w:ascii="黑体" w:hAnsi="宋体" w:eastAsia="黑体" w:cs="黑体"/>
                <w:i w:val="0"/>
                <w:color w:val="000000"/>
                <w:kern w:val="0"/>
                <w:sz w:val="24"/>
                <w:szCs w:val="24"/>
                <w:u w:val="none"/>
                <w:lang w:val="en-US" w:eastAsia="zh-CN" w:bidi="ar"/>
              </w:rPr>
              <w:t>指标</w:t>
            </w:r>
            <w:r>
              <w:rPr>
                <w:rFonts w:hint="eastAsia" w:ascii="黑体" w:hAnsi="宋体" w:eastAsia="黑体" w:cs="黑体"/>
                <w:i w:val="0"/>
                <w:color w:val="000000"/>
                <w:kern w:val="0"/>
                <w:sz w:val="24"/>
                <w:szCs w:val="24"/>
                <w:u w:val="none"/>
                <w:lang w:val="en-US" w:eastAsia="zh-CN" w:bidi="ar"/>
              </w:rPr>
              <w:br w:type="textWrapping"/>
            </w:r>
            <w:r>
              <w:rPr>
                <w:rFonts w:hint="eastAsia" w:ascii="黑体" w:hAnsi="宋体" w:eastAsia="黑体" w:cs="黑体"/>
                <w:i w:val="0"/>
                <w:color w:val="000000"/>
                <w:kern w:val="0"/>
                <w:sz w:val="24"/>
                <w:szCs w:val="24"/>
                <w:u w:val="none"/>
                <w:lang w:val="en-US" w:eastAsia="zh-CN" w:bidi="ar"/>
              </w:rPr>
              <w:t>分值</w:t>
            </w:r>
          </w:p>
        </w:tc>
        <w:tc>
          <w:tcPr>
            <w:tcW w:w="55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10B7E44">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732" w:type="dxa"/>
            <w:vMerge w:val="continue"/>
            <w:tcBorders>
              <w:left w:val="single" w:color="000000" w:sz="4" w:space="0"/>
              <w:bottom w:val="single" w:color="000000" w:sz="4" w:space="0"/>
              <w:right w:val="single" w:color="000000" w:sz="4" w:space="0"/>
            </w:tcBorders>
            <w:noWrap w:val="0"/>
            <w:vAlign w:val="center"/>
          </w:tcPr>
          <w:p w14:paraId="6CDEF61D">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c>
          <w:tcPr>
            <w:tcW w:w="468" w:type="dxa"/>
            <w:vMerge w:val="continue"/>
            <w:tcBorders>
              <w:left w:val="single" w:color="000000" w:sz="4" w:space="0"/>
              <w:bottom w:val="single" w:color="000000" w:sz="4" w:space="0"/>
              <w:right w:val="single" w:color="000000" w:sz="4" w:space="0"/>
            </w:tcBorders>
            <w:noWrap w:val="0"/>
            <w:vAlign w:val="center"/>
          </w:tcPr>
          <w:p w14:paraId="1C79BE4A">
            <w:pPr>
              <w:keepNext w:val="0"/>
              <w:keepLines w:val="0"/>
              <w:pageBreakBefore w:val="0"/>
              <w:widowControl/>
              <w:kinsoku/>
              <w:wordWrap/>
              <w:overflowPunct/>
              <w:topLinePunct w:val="0"/>
              <w:autoSpaceDE/>
              <w:autoSpaceDN/>
              <w:bidi w:val="0"/>
              <w:adjustRightInd/>
              <w:snapToGrid/>
              <w:spacing w:line="240" w:lineRule="exact"/>
              <w:jc w:val="center"/>
              <w:rPr>
                <w:rFonts w:hint="eastAsia" w:ascii="黑体" w:hAnsi="宋体" w:eastAsia="黑体" w:cs="黑体"/>
                <w:i w:val="0"/>
                <w:color w:val="000000"/>
                <w:sz w:val="24"/>
                <w:szCs w:val="24"/>
                <w:u w:val="none"/>
              </w:rPr>
            </w:pPr>
          </w:p>
        </w:tc>
      </w:tr>
      <w:tr w14:paraId="65DF2E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0E5BCD8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通用指标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（54分）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CEF3C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项目决策</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17F705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决策程序</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5F7D64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EED54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41043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F777F9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F1022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AC38E4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910087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E2F72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规划论证</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DFED1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6883EA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项目规划论证是否符合中央、省委</w:t>
            </w:r>
            <w:bookmarkStart w:id="1" w:name="_GoBack"/>
            <w:bookmarkEnd w:id="1"/>
            <w:r>
              <w:rPr>
                <w:rFonts w:hint="eastAsia" w:ascii="宋体" w:hAnsi="宋体" w:eastAsia="宋体" w:cs="宋体"/>
                <w:i w:val="0"/>
                <w:color w:val="000000"/>
                <w:kern w:val="0"/>
                <w:sz w:val="24"/>
                <w:szCs w:val="24"/>
                <w:u w:val="none"/>
                <w:lang w:val="en-US" w:eastAsia="zh-CN" w:bidi="ar"/>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699FC5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7D5424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F8F5E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B08F5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4C30664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0D78DD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资金投向</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1986961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04129BC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B170CA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CFC674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AEC5C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80F6A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B5664A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项目管理</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（18分）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94CA72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制度办法</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F083EE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EC6385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7E4FFF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2</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A5190C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A3F9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864093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056791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FF7DBF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分配管理</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427EF8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63BF4F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582AA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2A601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9FF4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2BB08B5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383494B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E1F6F9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绩效监管</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79D58D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4CAAEB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08CED8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B41B33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80E50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02FA45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3154669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项目实施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ECD31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预算执行</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DB9E28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EBC186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AC963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31AE2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889E8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86D80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FCB81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DB988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E8155E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578186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053EC6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0BB171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00D97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B59C8E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AEBB19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项目结果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（9分）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ABE017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目标完成</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A97D54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6C5B6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AF17E1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CC7A58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61EB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27CC3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829336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2A4CBD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完成时效</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FCD874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3</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84083B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8532E7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3</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FE88C9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1B2BE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5289BE6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644D2A93">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产业发展</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905B58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符合性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4E6EAA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86188F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C87309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A8829F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451DB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C56561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4C7739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7646CE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成长性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37E527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BDE9E3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6C4AFF6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7C096F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61F9E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821F50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DC2575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17704C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经济性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657379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7248A9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FB2117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FA5CBB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D9988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3065F7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2A6BC90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民生保障</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B4D74E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区域均衡性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34D5325">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8A2DA6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664FF2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85B8B6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7757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F0777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CFBB41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097FFB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对象精准性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84A8AC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D4326E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73438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10</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82B784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DA24E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DF5F395">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B3CAD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693F391C">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标准合理性</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559D32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5C7BC65">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E2656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3834DB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86BC0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B28577">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55DBC6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DE70E0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群众满意度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25245A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B1199BD">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5C7239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7B452E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F25D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2D1B7B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restart"/>
            <w:tcBorders>
              <w:top w:val="single" w:color="000000" w:sz="4" w:space="0"/>
              <w:left w:val="single" w:color="000000" w:sz="4" w:space="0"/>
              <w:bottom w:val="single" w:color="000000" w:sz="4" w:space="0"/>
              <w:right w:val="single" w:color="000000" w:sz="4" w:space="0"/>
            </w:tcBorders>
            <w:noWrap w:val="0"/>
            <w:vAlign w:val="center"/>
          </w:tcPr>
          <w:p w14:paraId="42A77B1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基础</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设施</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766" w:type="dxa"/>
            <w:vMerge w:val="restart"/>
            <w:tcBorders>
              <w:top w:val="single" w:color="000000" w:sz="4" w:space="0"/>
              <w:left w:val="single" w:color="000000" w:sz="4" w:space="0"/>
              <w:bottom w:val="single" w:color="000000" w:sz="4" w:space="0"/>
              <w:right w:val="single" w:color="000000" w:sz="4" w:space="0"/>
            </w:tcBorders>
            <w:noWrap w:val="0"/>
            <w:vAlign w:val="center"/>
          </w:tcPr>
          <w:p w14:paraId="603A9F3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在建</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4550440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工程进度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74AEFC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B55D0D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045CF8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16F054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FCFE9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BF70C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80215CE">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4380623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2A83ED6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202AFE6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19195BD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90F9538">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5AEB740B">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02C7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F6C590">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359E0FCF">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restart"/>
            <w:tcBorders>
              <w:top w:val="single" w:color="000000" w:sz="4" w:space="0"/>
              <w:left w:val="single" w:color="000000" w:sz="4" w:space="0"/>
              <w:bottom w:val="single" w:color="000000" w:sz="4" w:space="0"/>
              <w:right w:val="single" w:color="000000" w:sz="4" w:space="0"/>
            </w:tcBorders>
            <w:noWrap w:val="0"/>
            <w:vAlign w:val="center"/>
          </w:tcPr>
          <w:p w14:paraId="77FBA56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建成</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项目</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40DC7C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757E2A92">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61ADB70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310C07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80B2F2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B81E4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19DEF2AC">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71360253">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183B9AF1">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5491AD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功能实现</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BC8C58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1EC7F7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75D72AB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4B32EB9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144171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F370E9B">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5" w:type="dxa"/>
            <w:vMerge w:val="continue"/>
            <w:tcBorders>
              <w:top w:val="single" w:color="000000" w:sz="4" w:space="0"/>
              <w:left w:val="single" w:color="000000" w:sz="4" w:space="0"/>
              <w:bottom w:val="single" w:color="000000" w:sz="4" w:space="0"/>
              <w:right w:val="single" w:color="000000" w:sz="4" w:space="0"/>
            </w:tcBorders>
            <w:noWrap w:val="0"/>
            <w:vAlign w:val="center"/>
          </w:tcPr>
          <w:p w14:paraId="608B23E9">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766" w:type="dxa"/>
            <w:vMerge w:val="continue"/>
            <w:tcBorders>
              <w:top w:val="single" w:color="000000" w:sz="4" w:space="0"/>
              <w:left w:val="single" w:color="000000" w:sz="4" w:space="0"/>
              <w:bottom w:val="single" w:color="000000" w:sz="4" w:space="0"/>
              <w:right w:val="single" w:color="000000" w:sz="4" w:space="0"/>
            </w:tcBorders>
            <w:noWrap w:val="0"/>
            <w:vAlign w:val="center"/>
          </w:tcPr>
          <w:p w14:paraId="3D2BD15D">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3368B67B">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后续管护</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0E79608D">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7F9724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2761E0E">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1462D3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8DBC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0"/>
            <w:vAlign w:val="center"/>
          </w:tcPr>
          <w:p w14:paraId="15B4F90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专用指标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53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0C43ABA7">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行政运转</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（30分）</w:t>
            </w:r>
          </w:p>
        </w:tc>
        <w:tc>
          <w:tcPr>
            <w:tcW w:w="1188" w:type="dxa"/>
            <w:tcBorders>
              <w:top w:val="nil"/>
              <w:left w:val="single" w:color="000000" w:sz="4" w:space="0"/>
              <w:bottom w:val="single" w:color="000000" w:sz="4" w:space="0"/>
              <w:right w:val="single" w:color="000000" w:sz="4" w:space="0"/>
            </w:tcBorders>
            <w:noWrap w:val="0"/>
            <w:vAlign w:val="center"/>
          </w:tcPr>
          <w:p w14:paraId="12A545B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用途合规性</w:t>
            </w:r>
          </w:p>
        </w:tc>
        <w:tc>
          <w:tcPr>
            <w:tcW w:w="712" w:type="dxa"/>
            <w:tcBorders>
              <w:top w:val="nil"/>
              <w:left w:val="single" w:color="000000" w:sz="4" w:space="0"/>
              <w:bottom w:val="single" w:color="000000" w:sz="4" w:space="0"/>
              <w:right w:val="single" w:color="000000" w:sz="4" w:space="0"/>
            </w:tcBorders>
            <w:noWrap w:val="0"/>
            <w:vAlign w:val="center"/>
          </w:tcPr>
          <w:p w14:paraId="3BF4173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nil"/>
              <w:left w:val="single" w:color="000000" w:sz="4" w:space="0"/>
              <w:bottom w:val="single" w:color="000000" w:sz="4" w:space="0"/>
              <w:right w:val="single" w:color="000000" w:sz="4" w:space="0"/>
            </w:tcBorders>
            <w:noWrap w:val="0"/>
            <w:vAlign w:val="center"/>
          </w:tcPr>
          <w:p w14:paraId="1DBE0CD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0"/>
            <w:vAlign w:val="center"/>
          </w:tcPr>
          <w:p w14:paraId="1B8D2453">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nil"/>
              <w:left w:val="single" w:color="000000" w:sz="4" w:space="0"/>
              <w:bottom w:val="single" w:color="000000" w:sz="4" w:space="0"/>
              <w:right w:val="single" w:color="000000" w:sz="4" w:space="0"/>
            </w:tcBorders>
            <w:noWrap w:val="0"/>
            <w:vAlign w:val="center"/>
          </w:tcPr>
          <w:p w14:paraId="2647B62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2C2C84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2FFFC4A">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529798F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nil"/>
              <w:left w:val="single" w:color="000000" w:sz="4" w:space="0"/>
              <w:bottom w:val="single" w:color="000000" w:sz="4" w:space="0"/>
              <w:right w:val="single" w:color="000000" w:sz="4" w:space="0"/>
            </w:tcBorders>
            <w:noWrap w:val="0"/>
            <w:vAlign w:val="center"/>
          </w:tcPr>
          <w:p w14:paraId="07AF8FF6">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程序合规性</w:t>
            </w:r>
          </w:p>
        </w:tc>
        <w:tc>
          <w:tcPr>
            <w:tcW w:w="712" w:type="dxa"/>
            <w:tcBorders>
              <w:top w:val="nil"/>
              <w:left w:val="single" w:color="000000" w:sz="4" w:space="0"/>
              <w:bottom w:val="single" w:color="000000" w:sz="4" w:space="0"/>
              <w:right w:val="single" w:color="000000" w:sz="4" w:space="0"/>
            </w:tcBorders>
            <w:noWrap w:val="0"/>
            <w:vAlign w:val="center"/>
          </w:tcPr>
          <w:p w14:paraId="46BAE129">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22501827">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A43A0EC">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038FE441">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5ABBA9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0"/>
            <w:vAlign w:val="center"/>
          </w:tcPr>
          <w:p w14:paraId="5956E59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53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24A228B8">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nil"/>
              <w:left w:val="single" w:color="000000" w:sz="4" w:space="0"/>
              <w:bottom w:val="single" w:color="000000" w:sz="4" w:space="0"/>
              <w:right w:val="single" w:color="000000" w:sz="4" w:space="0"/>
            </w:tcBorders>
            <w:noWrap w:val="0"/>
            <w:vAlign w:val="center"/>
          </w:tcPr>
          <w:p w14:paraId="16593DFA">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标准合规性</w:t>
            </w:r>
          </w:p>
        </w:tc>
        <w:tc>
          <w:tcPr>
            <w:tcW w:w="712" w:type="dxa"/>
            <w:tcBorders>
              <w:top w:val="nil"/>
              <w:left w:val="single" w:color="000000" w:sz="4" w:space="0"/>
              <w:bottom w:val="single" w:color="000000" w:sz="4" w:space="0"/>
              <w:right w:val="single" w:color="000000" w:sz="4" w:space="0"/>
            </w:tcBorders>
            <w:noWrap w:val="0"/>
            <w:vAlign w:val="center"/>
          </w:tcPr>
          <w:p w14:paraId="554A8D41">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10</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315A57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EC68776">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1D98B4D0">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765109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2F65C8D0">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个性指标</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（16分）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0F944F4">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执行进度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430B0BC6">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52E0A900">
            <w:pPr>
              <w:keepNext w:val="0"/>
              <w:keepLines w:val="0"/>
              <w:widowControl/>
              <w:suppressLineNumbers w:val="0"/>
              <w:jc w:val="left"/>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项目是否如期完成。</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2C96ED19">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7081A34">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r w14:paraId="39DA5B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1EDA7656">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73DFB8A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资金拨付进度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D14E334">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5</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48276C76">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资金是否按期拨付。</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1DA1F3B4">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5</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2A5BE2EE">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2ED0B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4E2878B2">
            <w:pPr>
              <w:keepNext w:val="0"/>
              <w:keepLines w:val="0"/>
              <w:pageBreakBefore w:val="0"/>
              <w:widowControl/>
              <w:kinsoku/>
              <w:wordWrap/>
              <w:overflowPunct/>
              <w:topLinePunct w:val="0"/>
              <w:autoSpaceDE/>
              <w:autoSpaceDN/>
              <w:bidi w:val="0"/>
              <w:adjustRightInd/>
              <w:snapToGrid/>
              <w:spacing w:line="240" w:lineRule="exact"/>
              <w:jc w:val="center"/>
              <w:rPr>
                <w:rFonts w:hint="eastAsia" w:ascii="宋体" w:hAnsi="宋体" w:eastAsia="宋体" w:cs="宋体"/>
                <w:b/>
                <w:i w:val="0"/>
                <w:color w:val="000000"/>
                <w:sz w:val="24"/>
                <w:szCs w:val="24"/>
                <w:u w:val="none"/>
              </w:rPr>
            </w:pP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53F4637E">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项目效果</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5E6FAE0D">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6</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3859D9EF">
            <w:pPr>
              <w:keepNext w:val="0"/>
              <w:keepLines w:val="0"/>
              <w:widowControl/>
              <w:suppressLineNumbers w:val="0"/>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项目实施后是否达到预期效果。</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4F077FDC">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lang w:val="en-US" w:eastAsia="zh-CN"/>
              </w:rPr>
            </w:pPr>
            <w:r>
              <w:rPr>
                <w:rFonts w:hint="eastAsia" w:ascii="宋体" w:hAnsi="宋体" w:eastAsia="宋体" w:cs="宋体"/>
                <w:i w:val="0"/>
                <w:color w:val="000000"/>
                <w:sz w:val="24"/>
                <w:szCs w:val="24"/>
                <w:u w:val="none"/>
                <w:lang w:val="en-US" w:eastAsia="zh-CN"/>
              </w:rPr>
              <w:t>6</w:t>
            </w: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752FF0CF">
            <w:pPr>
              <w:keepNext w:val="0"/>
              <w:keepLines w:val="0"/>
              <w:pageBreakBefore w:val="0"/>
              <w:widowControl/>
              <w:kinsoku/>
              <w:wordWrap/>
              <w:overflowPunct/>
              <w:topLinePunct w:val="0"/>
              <w:autoSpaceDE/>
              <w:autoSpaceDN/>
              <w:bidi w:val="0"/>
              <w:adjustRightInd/>
              <w:snapToGrid/>
              <w:spacing w:line="240" w:lineRule="exact"/>
              <w:jc w:val="left"/>
              <w:rPr>
                <w:rFonts w:hint="eastAsia" w:ascii="宋体" w:hAnsi="宋体" w:eastAsia="宋体" w:cs="宋体"/>
                <w:i w:val="0"/>
                <w:color w:val="000000"/>
                <w:sz w:val="24"/>
                <w:szCs w:val="24"/>
                <w:u w:val="none"/>
              </w:rPr>
            </w:pPr>
          </w:p>
        </w:tc>
      </w:tr>
      <w:tr w14:paraId="20A93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251" w:type="dxa"/>
            <w:gridSpan w:val="3"/>
            <w:tcBorders>
              <w:top w:val="single" w:color="000000" w:sz="4" w:space="0"/>
              <w:left w:val="single" w:color="000000" w:sz="4" w:space="0"/>
              <w:bottom w:val="single" w:color="000000" w:sz="4" w:space="0"/>
              <w:right w:val="single" w:color="000000" w:sz="4" w:space="0"/>
            </w:tcBorders>
            <w:noWrap w:val="0"/>
            <w:vAlign w:val="center"/>
          </w:tcPr>
          <w:p w14:paraId="7F117EE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b/>
                <w:i w:val="0"/>
                <w:color w:val="000000"/>
                <w:sz w:val="24"/>
                <w:szCs w:val="24"/>
                <w:u w:val="none"/>
              </w:rPr>
            </w:pPr>
            <w:r>
              <w:rPr>
                <w:rFonts w:hint="eastAsia" w:ascii="宋体" w:hAnsi="宋体" w:eastAsia="宋体" w:cs="宋体"/>
                <w:b/>
                <w:i w:val="0"/>
                <w:color w:val="000000"/>
                <w:kern w:val="0"/>
                <w:sz w:val="24"/>
                <w:szCs w:val="24"/>
                <w:u w:val="none"/>
                <w:lang w:val="en-US" w:eastAsia="zh-CN" w:bidi="ar"/>
              </w:rPr>
              <w:t>扣分项</w:t>
            </w:r>
            <w:r>
              <w:rPr>
                <w:rFonts w:hint="eastAsia" w:ascii="宋体" w:hAnsi="宋体" w:eastAsia="宋体" w:cs="宋体"/>
                <w:b/>
                <w:i w:val="0"/>
                <w:color w:val="000000"/>
                <w:kern w:val="0"/>
                <w:sz w:val="24"/>
                <w:szCs w:val="24"/>
                <w:u w:val="none"/>
                <w:lang w:val="en-US" w:eastAsia="zh-CN" w:bidi="ar"/>
              </w:rPr>
              <w:br w:type="textWrapping"/>
            </w:r>
            <w:r>
              <w:rPr>
                <w:rFonts w:hint="eastAsia" w:ascii="宋体" w:hAnsi="宋体" w:eastAsia="宋体" w:cs="宋体"/>
                <w:b/>
                <w:i w:val="0"/>
                <w:color w:val="000000"/>
                <w:kern w:val="0"/>
                <w:sz w:val="24"/>
                <w:szCs w:val="24"/>
                <w:u w:val="none"/>
                <w:lang w:val="en-US" w:eastAsia="zh-CN" w:bidi="ar"/>
              </w:rPr>
              <w:t>（10分）</w:t>
            </w:r>
          </w:p>
        </w:tc>
        <w:tc>
          <w:tcPr>
            <w:tcW w:w="1188" w:type="dxa"/>
            <w:tcBorders>
              <w:top w:val="single" w:color="000000" w:sz="4" w:space="0"/>
              <w:left w:val="single" w:color="000000" w:sz="4" w:space="0"/>
              <w:bottom w:val="single" w:color="000000" w:sz="4" w:space="0"/>
              <w:right w:val="single" w:color="000000" w:sz="4" w:space="0"/>
            </w:tcBorders>
            <w:noWrap w:val="0"/>
            <w:vAlign w:val="center"/>
          </w:tcPr>
          <w:p w14:paraId="11175F5F">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部门配合度</w:t>
            </w:r>
          </w:p>
        </w:tc>
        <w:tc>
          <w:tcPr>
            <w:tcW w:w="712" w:type="dxa"/>
            <w:tcBorders>
              <w:top w:val="single" w:color="000000" w:sz="4" w:space="0"/>
              <w:left w:val="single" w:color="000000" w:sz="4" w:space="0"/>
              <w:bottom w:val="single" w:color="000000" w:sz="4" w:space="0"/>
              <w:right w:val="single" w:color="000000" w:sz="4" w:space="0"/>
            </w:tcBorders>
            <w:noWrap w:val="0"/>
            <w:vAlign w:val="center"/>
          </w:tcPr>
          <w:p w14:paraId="38536918">
            <w:pPr>
              <w:keepNext w:val="0"/>
              <w:keepLines w:val="0"/>
              <w:pageBreakBefore w:val="0"/>
              <w:widowControl/>
              <w:suppressLineNumbers w:val="0"/>
              <w:kinsoku/>
              <w:wordWrap/>
              <w:overflowPunct/>
              <w:topLinePunct w:val="0"/>
              <w:autoSpaceDE/>
              <w:autoSpaceDN/>
              <w:bidi w:val="0"/>
              <w:adjustRightInd/>
              <w:snapToGrid/>
              <w:spacing w:line="24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w:t>
            </w:r>
          </w:p>
        </w:tc>
        <w:tc>
          <w:tcPr>
            <w:tcW w:w="5550" w:type="dxa"/>
            <w:tcBorders>
              <w:top w:val="single" w:color="000000" w:sz="4" w:space="0"/>
              <w:left w:val="single" w:color="000000" w:sz="4" w:space="0"/>
              <w:bottom w:val="single" w:color="000000" w:sz="4" w:space="0"/>
              <w:right w:val="single" w:color="000000" w:sz="4" w:space="0"/>
            </w:tcBorders>
            <w:noWrap w:val="0"/>
            <w:vAlign w:val="center"/>
          </w:tcPr>
          <w:p w14:paraId="71B1566F">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0"/>
            <w:vAlign w:val="center"/>
          </w:tcPr>
          <w:p w14:paraId="0F73225A">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c>
          <w:tcPr>
            <w:tcW w:w="468" w:type="dxa"/>
            <w:tcBorders>
              <w:top w:val="single" w:color="000000" w:sz="4" w:space="0"/>
              <w:left w:val="single" w:color="000000" w:sz="4" w:space="0"/>
              <w:bottom w:val="single" w:color="000000" w:sz="4" w:space="0"/>
              <w:right w:val="single" w:color="000000" w:sz="4" w:space="0"/>
            </w:tcBorders>
            <w:noWrap w:val="0"/>
            <w:vAlign w:val="center"/>
          </w:tcPr>
          <w:p w14:paraId="603AF2D2">
            <w:pPr>
              <w:keepNext w:val="0"/>
              <w:keepLines w:val="0"/>
              <w:pageBreakBefore w:val="0"/>
              <w:widowControl/>
              <w:suppressLineNumbers w:val="0"/>
              <w:kinsoku/>
              <w:wordWrap/>
              <w:overflowPunct/>
              <w:topLinePunct w:val="0"/>
              <w:autoSpaceDE/>
              <w:autoSpaceDN/>
              <w:bidi w:val="0"/>
              <w:adjustRightInd/>
              <w:snapToGrid/>
              <w:spacing w:line="240" w:lineRule="exact"/>
              <w:jc w:val="left"/>
              <w:textAlignment w:val="center"/>
              <w:rPr>
                <w:rFonts w:hint="eastAsia" w:ascii="宋体" w:hAnsi="宋体" w:eastAsia="宋体" w:cs="宋体"/>
                <w:i w:val="0"/>
                <w:color w:val="000000"/>
                <w:kern w:val="0"/>
                <w:sz w:val="24"/>
                <w:szCs w:val="24"/>
                <w:u w:val="none"/>
                <w:lang w:val="en-US" w:eastAsia="zh-CN" w:bidi="ar"/>
              </w:rPr>
            </w:pPr>
          </w:p>
        </w:tc>
      </w:tr>
    </w:tbl>
    <w:p w14:paraId="63ECAEA9">
      <w:pPr>
        <w:keepNext w:val="0"/>
        <w:keepLines w:val="0"/>
        <w:pageBreakBefore w:val="0"/>
        <w:kinsoku/>
        <w:wordWrap/>
        <w:overflowPunct/>
        <w:topLinePunct w:val="0"/>
        <w:autoSpaceDE/>
        <w:autoSpaceDN/>
        <w:bidi w:val="0"/>
        <w:spacing w:line="578" w:lineRule="exact"/>
        <w:ind w:left="0" w:leftChars="0"/>
        <w:jc w:val="both"/>
        <w:textAlignment w:val="auto"/>
        <w:rPr>
          <w:rFonts w:hint="default"/>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br w:type="page"/>
      </w: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ascii="Times New Roman" w:hAnsi="Times New Roman" w:cs="Times New Roman"/>
          <w:b w:val="0"/>
          <w:bCs w:val="0"/>
          <w:color w:val="auto"/>
          <w:kern w:val="0"/>
          <w:sz w:val="32"/>
          <w:szCs w:val="32"/>
          <w:highlight w:val="none"/>
          <w:u w:val="none"/>
          <w:shd w:val="clear" w:color="auto" w:fill="FFFFFF"/>
          <w:lang w:val="en-US" w:eastAsia="zh-CN"/>
        </w:rPr>
        <w:t>2</w:t>
      </w:r>
    </w:p>
    <w:p w14:paraId="34D964D3">
      <w:pPr>
        <w:keepNext w:val="0"/>
        <w:keepLines w:val="0"/>
        <w:pageBreakBefore w:val="0"/>
        <w:kinsoku/>
        <w:wordWrap/>
        <w:overflowPunct/>
        <w:topLinePunct w:val="0"/>
        <w:autoSpaceDE/>
        <w:autoSpaceDN/>
        <w:bidi w:val="0"/>
        <w:spacing w:line="578" w:lineRule="exact"/>
        <w:ind w:left="0" w:leftChars="0"/>
        <w:jc w:val="center"/>
        <w:textAlignment w:val="auto"/>
        <w:rPr>
          <w:rFonts w:hint="default" w:ascii="Times New Roman" w:hAnsi="Times New Roman" w:eastAsia="方正小标宋_GBK" w:cs="Times New Roman"/>
          <w:b w:val="0"/>
          <w:bCs w:val="0"/>
          <w:color w:val="auto"/>
          <w:sz w:val="40"/>
          <w:szCs w:val="40"/>
          <w:highlight w:val="none"/>
          <w:u w:val="none"/>
          <w:lang w:val="en-US" w:eastAsia="zh-CN"/>
        </w:rPr>
      </w:pPr>
      <w:r>
        <w:rPr>
          <w:rFonts w:hint="default" w:ascii="Times New Roman" w:hAnsi="Times New Roman" w:eastAsia="方正小标宋_GBK" w:cs="Times New Roman"/>
          <w:b w:val="0"/>
          <w:bCs w:val="0"/>
          <w:color w:val="auto"/>
          <w:sz w:val="40"/>
          <w:szCs w:val="40"/>
          <w:highlight w:val="none"/>
          <w:u w:val="none"/>
          <w:lang w:val="en-US" w:eastAsia="zh-CN"/>
        </w:rPr>
        <w:t>专项预算绩效自评实地踏勘点位清单表</w:t>
      </w:r>
    </w:p>
    <w:p w14:paraId="031F8450">
      <w:pPr>
        <w:keepNext w:val="0"/>
        <w:keepLines w:val="0"/>
        <w:pageBreakBefore w:val="0"/>
        <w:widowControl w:val="0"/>
        <w:kinsoku/>
        <w:wordWrap/>
        <w:overflowPunct/>
        <w:topLinePunct w:val="0"/>
        <w:autoSpaceDE/>
        <w:autoSpaceDN/>
        <w:bidi w:val="0"/>
        <w:adjustRightInd/>
        <w:snapToGrid/>
        <w:spacing w:line="400" w:lineRule="exact"/>
        <w:ind w:left="0" w:leftChars="0"/>
        <w:jc w:val="center"/>
        <w:textAlignment w:val="auto"/>
        <w:rPr>
          <w:rFonts w:hint="eastAsia" w:ascii="楷体_GB2312" w:hAnsi="楷体_GB2312" w:eastAsia="楷体_GB2312" w:cs="楷体_GB2312"/>
          <w:b w:val="0"/>
          <w:bCs w:val="0"/>
          <w:color w:val="auto"/>
          <w:sz w:val="28"/>
          <w:szCs w:val="28"/>
          <w:highlight w:val="none"/>
          <w:u w:val="none"/>
          <w:lang w:val="en-US" w:eastAsia="zh-CN"/>
        </w:rPr>
      </w:pPr>
      <w:r>
        <w:rPr>
          <w:rFonts w:hint="eastAsia" w:ascii="楷体_GB2312" w:hAnsi="楷体_GB2312" w:eastAsia="楷体_GB2312" w:cs="楷体_GB2312"/>
          <w:b w:val="0"/>
          <w:bCs w:val="0"/>
          <w:color w:val="auto"/>
          <w:sz w:val="28"/>
          <w:szCs w:val="28"/>
          <w:highlight w:val="none"/>
          <w:u w:val="none"/>
          <w:lang w:val="en-US" w:eastAsia="zh-CN"/>
        </w:rPr>
        <w:t>（例表）</w:t>
      </w:r>
    </w:p>
    <w:tbl>
      <w:tblPr>
        <w:tblStyle w:val="10"/>
        <w:tblW w:w="7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3"/>
        <w:gridCol w:w="5956"/>
        <w:gridCol w:w="905"/>
      </w:tblGrid>
      <w:tr w14:paraId="255C1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4D9C7B9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序号</w:t>
            </w:r>
          </w:p>
        </w:tc>
        <w:tc>
          <w:tcPr>
            <w:tcW w:w="5956" w:type="dxa"/>
            <w:noWrap w:val="0"/>
            <w:vAlign w:val="top"/>
          </w:tcPr>
          <w:p w14:paraId="43FC5F2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实地踏勘点位</w:t>
            </w:r>
          </w:p>
        </w:tc>
        <w:tc>
          <w:tcPr>
            <w:tcW w:w="905" w:type="dxa"/>
            <w:noWrap w:val="0"/>
            <w:vAlign w:val="top"/>
          </w:tcPr>
          <w:p w14:paraId="45C63F2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黑体" w:cs="Times New Roman"/>
                <w:b w:val="0"/>
                <w:bCs w:val="0"/>
                <w:color w:val="auto"/>
                <w:sz w:val="24"/>
                <w:szCs w:val="24"/>
                <w:highlight w:val="none"/>
                <w:u w:val="none"/>
                <w:vertAlign w:val="baseline"/>
                <w:lang w:val="en-US" w:eastAsia="zh-CN"/>
              </w:rPr>
            </w:pPr>
            <w:r>
              <w:rPr>
                <w:rFonts w:hint="default" w:ascii="Times New Roman" w:hAnsi="Times New Roman" w:eastAsia="黑体" w:cs="Times New Roman"/>
                <w:b w:val="0"/>
                <w:bCs w:val="0"/>
                <w:color w:val="auto"/>
                <w:sz w:val="24"/>
                <w:szCs w:val="24"/>
                <w:highlight w:val="none"/>
                <w:u w:val="none"/>
                <w:vertAlign w:val="baseline"/>
                <w:lang w:val="en-US" w:eastAsia="zh-CN"/>
              </w:rPr>
              <w:t>备注</w:t>
            </w:r>
          </w:p>
        </w:tc>
      </w:tr>
      <w:tr w14:paraId="335A3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0A2B62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1</w:t>
            </w:r>
          </w:p>
        </w:tc>
        <w:tc>
          <w:tcPr>
            <w:tcW w:w="5956" w:type="dxa"/>
            <w:noWrap w:val="0"/>
            <w:vAlign w:val="top"/>
          </w:tcPr>
          <w:p w14:paraId="5E22122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r>
              <w:rPr>
                <w:rFonts w:hint="eastAsia" w:cs="Times New Roman"/>
                <w:color w:val="auto"/>
                <w:sz w:val="24"/>
                <w:szCs w:val="24"/>
                <w:highlight w:val="none"/>
                <w:u w:val="none"/>
                <w:vertAlign w:val="baseline"/>
                <w:lang w:val="en-US" w:eastAsia="zh-CN"/>
              </w:rPr>
              <w:t>黑水县市政公用服务中心</w:t>
            </w:r>
          </w:p>
        </w:tc>
        <w:tc>
          <w:tcPr>
            <w:tcW w:w="905" w:type="dxa"/>
            <w:noWrap w:val="0"/>
            <w:vAlign w:val="top"/>
          </w:tcPr>
          <w:p w14:paraId="22019C51">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ED82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091401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2</w:t>
            </w:r>
          </w:p>
        </w:tc>
        <w:tc>
          <w:tcPr>
            <w:tcW w:w="5956" w:type="dxa"/>
            <w:noWrap w:val="0"/>
            <w:vAlign w:val="top"/>
          </w:tcPr>
          <w:p w14:paraId="3275A79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C551B2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F813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3BBEB3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3</w:t>
            </w:r>
          </w:p>
        </w:tc>
        <w:tc>
          <w:tcPr>
            <w:tcW w:w="5956" w:type="dxa"/>
            <w:noWrap w:val="0"/>
            <w:vAlign w:val="top"/>
          </w:tcPr>
          <w:p w14:paraId="7F05DDA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69E207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4349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B0E0D2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4</w:t>
            </w:r>
          </w:p>
        </w:tc>
        <w:tc>
          <w:tcPr>
            <w:tcW w:w="5956" w:type="dxa"/>
            <w:noWrap w:val="0"/>
            <w:vAlign w:val="top"/>
          </w:tcPr>
          <w:p w14:paraId="27CEB66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04A6D4F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03462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814B3E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5</w:t>
            </w:r>
          </w:p>
        </w:tc>
        <w:tc>
          <w:tcPr>
            <w:tcW w:w="5956" w:type="dxa"/>
            <w:noWrap w:val="0"/>
            <w:vAlign w:val="top"/>
          </w:tcPr>
          <w:p w14:paraId="6F69380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17ABF25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12B63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C259AE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6</w:t>
            </w:r>
          </w:p>
        </w:tc>
        <w:tc>
          <w:tcPr>
            <w:tcW w:w="5956" w:type="dxa"/>
            <w:noWrap w:val="0"/>
            <w:vAlign w:val="top"/>
          </w:tcPr>
          <w:p w14:paraId="35CE8EB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45C1A68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2FCC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1DA901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7</w:t>
            </w:r>
          </w:p>
        </w:tc>
        <w:tc>
          <w:tcPr>
            <w:tcW w:w="5956" w:type="dxa"/>
            <w:noWrap w:val="0"/>
            <w:vAlign w:val="top"/>
          </w:tcPr>
          <w:p w14:paraId="6DFDF64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53BED49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2F4DA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162078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b w:val="0"/>
                <w:bCs w:val="0"/>
                <w:color w:val="auto"/>
                <w:sz w:val="24"/>
                <w:szCs w:val="24"/>
                <w:highlight w:val="none"/>
                <w:u w:val="none"/>
                <w:lang w:val="en-US" w:eastAsia="zh-CN"/>
              </w:rPr>
            </w:pPr>
            <w:r>
              <w:rPr>
                <w:rFonts w:hint="default" w:ascii="Times New Roman" w:hAnsi="Times New Roman" w:eastAsia="宋体" w:cs="Times New Roman"/>
                <w:b w:val="0"/>
                <w:bCs w:val="0"/>
                <w:color w:val="auto"/>
                <w:sz w:val="24"/>
                <w:szCs w:val="24"/>
                <w:highlight w:val="none"/>
                <w:u w:val="none"/>
                <w:lang w:val="en-US" w:eastAsia="zh-CN"/>
              </w:rPr>
              <w:t>8</w:t>
            </w:r>
          </w:p>
        </w:tc>
        <w:tc>
          <w:tcPr>
            <w:tcW w:w="5956" w:type="dxa"/>
            <w:noWrap w:val="0"/>
            <w:vAlign w:val="top"/>
          </w:tcPr>
          <w:p w14:paraId="64A8708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US" w:eastAsia="zh-CN"/>
              </w:rPr>
            </w:pPr>
          </w:p>
        </w:tc>
        <w:tc>
          <w:tcPr>
            <w:tcW w:w="905" w:type="dxa"/>
            <w:noWrap w:val="0"/>
            <w:vAlign w:val="top"/>
          </w:tcPr>
          <w:p w14:paraId="3429E7C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6E1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D0378E2">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9</w:t>
            </w:r>
          </w:p>
        </w:tc>
        <w:tc>
          <w:tcPr>
            <w:tcW w:w="5956" w:type="dxa"/>
            <w:noWrap w:val="0"/>
            <w:vAlign w:val="top"/>
          </w:tcPr>
          <w:p w14:paraId="6535F9BC">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77BD8D0F">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1CC9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F6EC398">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10</w:t>
            </w:r>
          </w:p>
        </w:tc>
        <w:tc>
          <w:tcPr>
            <w:tcW w:w="5956" w:type="dxa"/>
            <w:noWrap w:val="0"/>
            <w:vAlign w:val="top"/>
          </w:tcPr>
          <w:p w14:paraId="25BD118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0067EBE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1B169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FCC7633">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11</w:t>
            </w:r>
          </w:p>
        </w:tc>
        <w:tc>
          <w:tcPr>
            <w:tcW w:w="5956" w:type="dxa"/>
            <w:noWrap w:val="0"/>
            <w:vAlign w:val="top"/>
          </w:tcPr>
          <w:p w14:paraId="49F27F6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5A96524">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A49C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59820014">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12</w:t>
            </w:r>
          </w:p>
        </w:tc>
        <w:tc>
          <w:tcPr>
            <w:tcW w:w="5956" w:type="dxa"/>
            <w:noWrap w:val="0"/>
            <w:vAlign w:val="top"/>
          </w:tcPr>
          <w:p w14:paraId="3E243A2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60AB8278">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D203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EA606D0">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13</w:t>
            </w:r>
          </w:p>
        </w:tc>
        <w:tc>
          <w:tcPr>
            <w:tcW w:w="5956" w:type="dxa"/>
            <w:noWrap w:val="0"/>
            <w:vAlign w:val="top"/>
          </w:tcPr>
          <w:p w14:paraId="10DAA336">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4579E5E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5F977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96258E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14</w:t>
            </w:r>
          </w:p>
        </w:tc>
        <w:tc>
          <w:tcPr>
            <w:tcW w:w="5956" w:type="dxa"/>
            <w:noWrap w:val="0"/>
            <w:vAlign w:val="top"/>
          </w:tcPr>
          <w:p w14:paraId="2A093B6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143E86D">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4A29C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10850DBF">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15</w:t>
            </w:r>
          </w:p>
        </w:tc>
        <w:tc>
          <w:tcPr>
            <w:tcW w:w="5956" w:type="dxa"/>
            <w:noWrap w:val="0"/>
            <w:vAlign w:val="top"/>
          </w:tcPr>
          <w:p w14:paraId="4610426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35C0C24B">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13A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7D41B1DA">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16</w:t>
            </w:r>
          </w:p>
        </w:tc>
        <w:tc>
          <w:tcPr>
            <w:tcW w:w="5956" w:type="dxa"/>
            <w:noWrap w:val="0"/>
            <w:vAlign w:val="top"/>
          </w:tcPr>
          <w:p w14:paraId="27D15B8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135978A7">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6031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25573B8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17</w:t>
            </w:r>
          </w:p>
        </w:tc>
        <w:tc>
          <w:tcPr>
            <w:tcW w:w="5956" w:type="dxa"/>
            <w:noWrap w:val="0"/>
            <w:vAlign w:val="top"/>
          </w:tcPr>
          <w:p w14:paraId="24CB23E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510A76D6">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7601F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3124A2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18</w:t>
            </w:r>
          </w:p>
        </w:tc>
        <w:tc>
          <w:tcPr>
            <w:tcW w:w="5956" w:type="dxa"/>
            <w:noWrap w:val="0"/>
            <w:vAlign w:val="top"/>
          </w:tcPr>
          <w:p w14:paraId="29712295">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仿宋_GB2312" w:cs="Times New Roman"/>
                <w:color w:val="auto"/>
                <w:kern w:val="2"/>
                <w:sz w:val="24"/>
                <w:szCs w:val="24"/>
                <w:highlight w:val="none"/>
                <w:u w:val="none"/>
                <w:vertAlign w:val="baseline"/>
                <w:lang w:val="en" w:eastAsia="zh-CN" w:bidi="ar-SA"/>
              </w:rPr>
            </w:pPr>
          </w:p>
        </w:tc>
        <w:tc>
          <w:tcPr>
            <w:tcW w:w="905" w:type="dxa"/>
            <w:noWrap w:val="0"/>
            <w:vAlign w:val="top"/>
          </w:tcPr>
          <w:p w14:paraId="2048E013">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3693E2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34741B57">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19</w:t>
            </w:r>
          </w:p>
        </w:tc>
        <w:tc>
          <w:tcPr>
            <w:tcW w:w="5956" w:type="dxa"/>
            <w:noWrap w:val="0"/>
            <w:vAlign w:val="top"/>
          </w:tcPr>
          <w:p w14:paraId="72D4A0AD">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cs="Times New Roman"/>
                <w:color w:val="auto"/>
                <w:sz w:val="24"/>
                <w:szCs w:val="24"/>
                <w:highlight w:val="none"/>
                <w:u w:val="none"/>
                <w:vertAlign w:val="baseline"/>
                <w:lang w:val="en" w:eastAsia="zh-CN"/>
              </w:rPr>
            </w:pPr>
            <w:r>
              <w:rPr>
                <w:rFonts w:hint="eastAsia" w:cs="Times New Roman"/>
                <w:color w:val="auto"/>
                <w:sz w:val="24"/>
                <w:szCs w:val="24"/>
                <w:highlight w:val="none"/>
                <w:u w:val="none"/>
                <w:vertAlign w:val="baseline"/>
                <w:lang w:val="en" w:eastAsia="zh-CN"/>
              </w:rPr>
              <w:t>……</w:t>
            </w:r>
          </w:p>
        </w:tc>
        <w:tc>
          <w:tcPr>
            <w:tcW w:w="905" w:type="dxa"/>
            <w:noWrap w:val="0"/>
            <w:vAlign w:val="top"/>
          </w:tcPr>
          <w:p w14:paraId="17DD64CC">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r w14:paraId="6F229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exact"/>
          <w:jc w:val="center"/>
        </w:trPr>
        <w:tc>
          <w:tcPr>
            <w:tcW w:w="1123" w:type="dxa"/>
            <w:noWrap w:val="0"/>
            <w:vAlign w:val="top"/>
          </w:tcPr>
          <w:p w14:paraId="04AE367E">
            <w:pPr>
              <w:keepNext w:val="0"/>
              <w:keepLines w:val="0"/>
              <w:pageBreakBefore w:val="0"/>
              <w:widowControl w:val="0"/>
              <w:kinsoku/>
              <w:wordWrap/>
              <w:overflowPunct/>
              <w:topLinePunct w:val="0"/>
              <w:autoSpaceDE/>
              <w:autoSpaceDN/>
              <w:bidi w:val="0"/>
              <w:adjustRightInd/>
              <w:snapToGrid/>
              <w:spacing w:line="300" w:lineRule="exact"/>
              <w:ind w:left="0" w:leftChars="0"/>
              <w:jc w:val="center"/>
              <w:textAlignment w:val="auto"/>
              <w:outlineLvl w:val="9"/>
              <w:rPr>
                <w:rFonts w:hint="default" w:ascii="Times New Roman" w:hAnsi="Times New Roman" w:eastAsia="宋体" w:cs="Times New Roman"/>
                <w:color w:val="auto"/>
                <w:sz w:val="24"/>
                <w:szCs w:val="24"/>
                <w:highlight w:val="none"/>
                <w:u w:val="none"/>
                <w:lang w:val="en-US" w:eastAsia="zh-CN"/>
              </w:rPr>
            </w:pPr>
            <w:r>
              <w:rPr>
                <w:rFonts w:hint="default" w:ascii="Times New Roman" w:hAnsi="Times New Roman" w:eastAsia="宋体" w:cs="Times New Roman"/>
                <w:color w:val="auto"/>
                <w:sz w:val="24"/>
                <w:szCs w:val="24"/>
                <w:highlight w:val="none"/>
                <w:u w:val="none"/>
                <w:lang w:val="en-US" w:eastAsia="zh-CN"/>
              </w:rPr>
              <w:t>20</w:t>
            </w:r>
          </w:p>
        </w:tc>
        <w:tc>
          <w:tcPr>
            <w:tcW w:w="5956" w:type="dxa"/>
            <w:noWrap w:val="0"/>
            <w:vAlign w:val="top"/>
          </w:tcPr>
          <w:p w14:paraId="1C52E209">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 w:eastAsia="zh-CN"/>
              </w:rPr>
            </w:pPr>
          </w:p>
        </w:tc>
        <w:tc>
          <w:tcPr>
            <w:tcW w:w="905" w:type="dxa"/>
            <w:noWrap w:val="0"/>
            <w:vAlign w:val="top"/>
          </w:tcPr>
          <w:p w14:paraId="62441662">
            <w:pPr>
              <w:keepNext w:val="0"/>
              <w:keepLines w:val="0"/>
              <w:pageBreakBefore w:val="0"/>
              <w:widowControl w:val="0"/>
              <w:kinsoku/>
              <w:wordWrap/>
              <w:overflowPunct/>
              <w:topLinePunct w:val="0"/>
              <w:autoSpaceDE/>
              <w:autoSpaceDN/>
              <w:bidi w:val="0"/>
              <w:adjustRightInd/>
              <w:snapToGrid/>
              <w:spacing w:line="300" w:lineRule="exact"/>
              <w:ind w:left="0" w:leftChars="0"/>
              <w:textAlignment w:val="auto"/>
              <w:outlineLvl w:val="9"/>
              <w:rPr>
                <w:rFonts w:hint="default" w:ascii="Times New Roman" w:hAnsi="Times New Roman" w:cs="Times New Roman"/>
                <w:color w:val="auto"/>
                <w:sz w:val="24"/>
                <w:szCs w:val="24"/>
                <w:highlight w:val="none"/>
                <w:u w:val="none"/>
                <w:vertAlign w:val="baseline"/>
                <w:lang w:val="en-US" w:eastAsia="zh-CN"/>
              </w:rPr>
            </w:pPr>
          </w:p>
        </w:tc>
      </w:tr>
    </w:tbl>
    <w:p w14:paraId="0A8C8AA9">
      <w:pPr>
        <w:keepNext w:val="0"/>
        <w:keepLines w:val="0"/>
        <w:pageBreakBefore w:val="0"/>
        <w:widowControl w:val="0"/>
        <w:kinsoku/>
        <w:wordWrap/>
        <w:overflowPunct/>
        <w:topLinePunct w:val="0"/>
        <w:autoSpaceDE/>
        <w:autoSpaceDN/>
        <w:bidi w:val="0"/>
        <w:adjustRightInd/>
        <w:snapToGrid/>
        <w:spacing w:line="400" w:lineRule="exact"/>
        <w:ind w:left="0" w:leftChars="0" w:firstLine="0" w:firstLineChars="0"/>
        <w:jc w:val="center"/>
        <w:textAlignment w:val="auto"/>
        <w:rPr>
          <w:rFonts w:hint="default" w:ascii="Times New Roman" w:hAnsi="Times New Roman" w:eastAsia="宋体" w:cs="Times New Roman"/>
          <w:b w:val="0"/>
          <w:bCs w:val="0"/>
          <w:color w:val="auto"/>
          <w:sz w:val="21"/>
          <w:szCs w:val="21"/>
          <w:highlight w:val="none"/>
          <w:u w:val="none"/>
          <w:vertAlign w:val="baseline"/>
          <w:lang w:val="en-US" w:eastAsia="zh-CN"/>
        </w:rPr>
      </w:pPr>
      <w:r>
        <w:rPr>
          <w:rFonts w:hint="default" w:ascii="Times New Roman" w:hAnsi="Times New Roman" w:eastAsia="宋体" w:cs="Times New Roman"/>
          <w:b w:val="0"/>
          <w:bCs w:val="0"/>
          <w:color w:val="auto"/>
          <w:sz w:val="21"/>
          <w:szCs w:val="21"/>
          <w:highlight w:val="none"/>
          <w:u w:val="none"/>
          <w:vertAlign w:val="baseline"/>
          <w:lang w:val="en-US" w:eastAsia="zh-CN"/>
        </w:rPr>
        <w:t>备注：项目</w:t>
      </w:r>
      <w:r>
        <w:rPr>
          <w:rFonts w:hint="eastAsia" w:eastAsia="宋体" w:cs="Times New Roman"/>
          <w:b w:val="0"/>
          <w:bCs w:val="0"/>
          <w:color w:val="auto"/>
          <w:sz w:val="21"/>
          <w:szCs w:val="21"/>
          <w:highlight w:val="none"/>
          <w:u w:val="none"/>
          <w:vertAlign w:val="baseline"/>
          <w:lang w:val="en-US" w:eastAsia="zh-CN"/>
        </w:rPr>
        <w:t>实地踏勘</w:t>
      </w:r>
      <w:r>
        <w:rPr>
          <w:rFonts w:hint="default" w:ascii="Times New Roman" w:hAnsi="Times New Roman" w:eastAsia="宋体" w:cs="Times New Roman"/>
          <w:b w:val="0"/>
          <w:bCs w:val="0"/>
          <w:color w:val="auto"/>
          <w:sz w:val="21"/>
          <w:szCs w:val="21"/>
          <w:highlight w:val="none"/>
          <w:u w:val="none"/>
          <w:vertAlign w:val="baseline"/>
          <w:lang w:val="en-US" w:eastAsia="zh-CN"/>
        </w:rPr>
        <w:t>点位包括市（州）本级、县（市、区）</w:t>
      </w:r>
      <w:r>
        <w:rPr>
          <w:rFonts w:hint="eastAsia" w:eastAsia="宋体" w:cs="Times New Roman"/>
          <w:b w:val="0"/>
          <w:bCs w:val="0"/>
          <w:color w:val="auto"/>
          <w:sz w:val="21"/>
          <w:szCs w:val="21"/>
          <w:highlight w:val="none"/>
          <w:u w:val="none"/>
          <w:vertAlign w:val="baseline"/>
          <w:lang w:val="en-US" w:eastAsia="zh-CN"/>
        </w:rPr>
        <w:t>本级及有关项目、单位、公司</w:t>
      </w:r>
      <w:r>
        <w:rPr>
          <w:rFonts w:hint="default" w:ascii="Times New Roman" w:hAnsi="Times New Roman" w:eastAsia="宋体" w:cs="Times New Roman"/>
          <w:b w:val="0"/>
          <w:bCs w:val="0"/>
          <w:color w:val="auto"/>
          <w:sz w:val="21"/>
          <w:szCs w:val="21"/>
          <w:highlight w:val="none"/>
          <w:u w:val="none"/>
          <w:vertAlign w:val="baseline"/>
          <w:lang w:val="en-US" w:eastAsia="zh-CN"/>
        </w:rPr>
        <w:t>等。</w:t>
      </w:r>
    </w:p>
    <w:p w14:paraId="349FA1FA">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617DB1FA">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3649B6A3">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04FAB8CE">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55CD130B">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640122C9">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248F0737">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641BF9F7">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067E6310">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41EF0EDF">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pPr>
    </w:p>
    <w:p w14:paraId="4546ABF5">
      <w:pPr>
        <w:keepNext w:val="0"/>
        <w:keepLines w:val="0"/>
        <w:pageBreakBefore w:val="0"/>
        <w:kinsoku/>
        <w:wordWrap/>
        <w:overflowPunct/>
        <w:topLinePunct w:val="0"/>
        <w:autoSpaceDE/>
        <w:autoSpaceDN/>
        <w:bidi w:val="0"/>
        <w:adjustRightInd/>
        <w:snapToGrid w:val="0"/>
        <w:spacing w:line="578" w:lineRule="exact"/>
        <w:textAlignment w:val="auto"/>
        <w:outlineLvl w:val="9"/>
        <w:rPr>
          <w:rFonts w:hint="default" w:ascii="Times New Roman" w:hAnsi="Times New Roman" w:eastAsia="黑体" w:cs="Times New Roman"/>
          <w:b w:val="0"/>
          <w:bCs w:val="0"/>
          <w:color w:val="auto"/>
          <w:kern w:val="0"/>
          <w:sz w:val="32"/>
          <w:szCs w:val="32"/>
          <w:highlight w:val="none"/>
          <w:u w:val="none"/>
          <w:shd w:val="clear" w:color="auto" w:fill="FFFFFF"/>
          <w:lang w:val="en-US" w:eastAsia="zh-CN"/>
        </w:rPr>
      </w:pPr>
      <w:r>
        <w:rPr>
          <w:rFonts w:hint="default" w:ascii="Times New Roman" w:hAnsi="Times New Roman" w:eastAsia="黑体" w:cs="Times New Roman"/>
          <w:b w:val="0"/>
          <w:bCs w:val="0"/>
          <w:color w:val="auto"/>
          <w:kern w:val="0"/>
          <w:sz w:val="32"/>
          <w:szCs w:val="32"/>
          <w:highlight w:val="none"/>
          <w:u w:val="none"/>
          <w:shd w:val="clear" w:color="auto" w:fill="FFFFFF"/>
          <w:lang w:val="zh-CN" w:eastAsia="zh-CN"/>
        </w:rPr>
        <w:t>附表</w:t>
      </w:r>
      <w:r>
        <w:rPr>
          <w:rFonts w:hint="eastAsia" w:eastAsia="黑体" w:cs="Times New Roman"/>
          <w:b w:val="0"/>
          <w:bCs w:val="0"/>
          <w:color w:val="auto"/>
          <w:kern w:val="0"/>
          <w:sz w:val="32"/>
          <w:szCs w:val="32"/>
          <w:highlight w:val="none"/>
          <w:u w:val="none"/>
          <w:shd w:val="clear" w:color="auto" w:fill="FFFFFF"/>
          <w:lang w:val="en-US" w:eastAsia="zh-CN"/>
        </w:rPr>
        <w:t>3</w:t>
      </w:r>
    </w:p>
    <w:tbl>
      <w:tblPr>
        <w:tblStyle w:val="9"/>
        <w:tblW w:w="1023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449"/>
        <w:gridCol w:w="203"/>
        <w:gridCol w:w="542"/>
        <w:gridCol w:w="539"/>
        <w:gridCol w:w="1250"/>
        <w:gridCol w:w="1312"/>
        <w:gridCol w:w="944"/>
        <w:gridCol w:w="183"/>
        <w:gridCol w:w="1520"/>
        <w:gridCol w:w="512"/>
        <w:gridCol w:w="84"/>
        <w:gridCol w:w="1132"/>
        <w:gridCol w:w="135"/>
        <w:gridCol w:w="1428"/>
      </w:tblGrid>
      <w:tr w14:paraId="06453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33" w:type="dxa"/>
            <w:gridSpan w:val="14"/>
            <w:noWrap w:val="0"/>
            <w:vAlign w:val="center"/>
          </w:tcPr>
          <w:p w14:paraId="407BA4A4">
            <w:pPr>
              <w:keepNext w:val="0"/>
              <w:keepLines w:val="0"/>
              <w:pageBreakBefore w:val="0"/>
              <w:widowControl/>
              <w:suppressLineNumbers w:val="0"/>
              <w:kinsoku/>
              <w:wordWrap/>
              <w:overflowPunct/>
              <w:topLinePunct w:val="0"/>
              <w:autoSpaceDE/>
              <w:autoSpaceDN/>
              <w:bidi w:val="0"/>
              <w:adjustRightInd/>
              <w:snapToGrid/>
              <w:spacing w:line="600" w:lineRule="exact"/>
              <w:ind w:left="0" w:leftChars="0"/>
              <w:jc w:val="center"/>
              <w:textAlignment w:val="center"/>
              <w:rPr>
                <w:rFonts w:hint="default" w:ascii="Times New Roman" w:hAnsi="Times New Roman" w:eastAsia="黑体" w:cs="Times New Roman"/>
                <w:i w:val="0"/>
                <w:color w:val="000000"/>
                <w:sz w:val="30"/>
                <w:szCs w:val="30"/>
                <w:u w:val="none"/>
              </w:rPr>
            </w:pPr>
            <w:r>
              <w:rPr>
                <w:rFonts w:hint="default" w:ascii="Times New Roman" w:hAnsi="Times New Roman" w:eastAsia="方正小标宋简体" w:cs="Times New Roman"/>
                <w:i w:val="0"/>
                <w:color w:val="000000"/>
                <w:kern w:val="0"/>
                <w:sz w:val="40"/>
                <w:szCs w:val="40"/>
                <w:u w:val="none"/>
                <w:lang w:val="en-US" w:eastAsia="zh-CN" w:bidi="ar"/>
              </w:rPr>
              <w:t>专项预算项目绩效目标完成情况自评表</w:t>
            </w:r>
          </w:p>
        </w:tc>
      </w:tr>
      <w:tr w14:paraId="5F627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6"/>
            <w:tcBorders>
              <w:top w:val="single" w:color="000000" w:sz="4" w:space="0"/>
              <w:left w:val="single" w:color="000000" w:sz="4" w:space="0"/>
              <w:bottom w:val="single" w:color="000000" w:sz="4" w:space="0"/>
              <w:right w:val="single" w:color="000000" w:sz="4" w:space="0"/>
            </w:tcBorders>
            <w:noWrap w:val="0"/>
            <w:vAlign w:val="center"/>
          </w:tcPr>
          <w:p w14:paraId="65999BB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left"/>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项目名称</w:t>
            </w:r>
          </w:p>
        </w:tc>
        <w:tc>
          <w:tcPr>
            <w:tcW w:w="5938" w:type="dxa"/>
            <w:gridSpan w:val="8"/>
            <w:tcBorders>
              <w:top w:val="single" w:color="000000" w:sz="4" w:space="0"/>
              <w:left w:val="single" w:color="000000" w:sz="4" w:space="0"/>
              <w:bottom w:val="single" w:color="000000" w:sz="4" w:space="0"/>
              <w:right w:val="single" w:color="000000" w:sz="4" w:space="0"/>
            </w:tcBorders>
            <w:noWrap w:val="0"/>
            <w:vAlign w:val="center"/>
          </w:tcPr>
          <w:p w14:paraId="60B89FE1">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r>
              <w:rPr>
                <w:rFonts w:hint="default" w:ascii="宋体" w:hAnsi="宋体" w:eastAsia="宋体" w:cs="宋体"/>
                <w:color w:val="000000"/>
                <w:kern w:val="0"/>
                <w:sz w:val="24"/>
                <w:szCs w:val="24"/>
                <w:lang w:val="en-US" w:eastAsia="zh-CN" w:bidi="ar"/>
              </w:rPr>
              <w:t>城镇垃圾无害化处理焚烧厂在线监测维护</w:t>
            </w:r>
          </w:p>
        </w:tc>
      </w:tr>
      <w:tr w14:paraId="3F9D2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8" w:hRule="atLeast"/>
          <w:jc w:val="center"/>
        </w:trPr>
        <w:tc>
          <w:tcPr>
            <w:tcW w:w="4295" w:type="dxa"/>
            <w:gridSpan w:val="6"/>
            <w:tcBorders>
              <w:top w:val="single" w:color="000000" w:sz="4" w:space="0"/>
              <w:left w:val="single" w:color="000000" w:sz="4" w:space="0"/>
              <w:bottom w:val="single" w:color="000000" w:sz="4" w:space="0"/>
              <w:right w:val="single" w:color="000000" w:sz="4" w:space="0"/>
            </w:tcBorders>
            <w:noWrap w:val="0"/>
            <w:vAlign w:val="center"/>
          </w:tcPr>
          <w:p w14:paraId="43EE982A">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预算单位</w:t>
            </w:r>
          </w:p>
        </w:tc>
        <w:tc>
          <w:tcPr>
            <w:tcW w:w="5938" w:type="dxa"/>
            <w:gridSpan w:val="8"/>
            <w:tcBorders>
              <w:top w:val="single" w:color="000000" w:sz="4" w:space="0"/>
              <w:left w:val="single" w:color="000000" w:sz="4" w:space="0"/>
              <w:bottom w:val="single" w:color="000000" w:sz="4" w:space="0"/>
              <w:right w:val="single" w:color="000000" w:sz="4" w:space="0"/>
            </w:tcBorders>
            <w:noWrap w:val="0"/>
            <w:vAlign w:val="center"/>
          </w:tcPr>
          <w:p w14:paraId="598C4E25">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color w:val="000000"/>
                <w:kern w:val="0"/>
                <w:sz w:val="24"/>
                <w:szCs w:val="24"/>
                <w:lang w:eastAsia="zh-CN" w:bidi="ar"/>
              </w:rPr>
              <w:t>黑水县市政公用服务中心</w:t>
            </w:r>
          </w:p>
        </w:tc>
      </w:tr>
      <w:tr w14:paraId="06063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295" w:type="dxa"/>
            <w:gridSpan w:val="6"/>
            <w:tcBorders>
              <w:top w:val="single" w:color="000000" w:sz="4" w:space="0"/>
              <w:left w:val="single" w:color="000000" w:sz="4" w:space="0"/>
              <w:bottom w:val="single" w:color="000000" w:sz="4" w:space="0"/>
              <w:right w:val="single" w:color="000000" w:sz="4" w:space="0"/>
            </w:tcBorders>
            <w:noWrap w:val="0"/>
            <w:vAlign w:val="center"/>
          </w:tcPr>
          <w:p w14:paraId="008BD644">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项目类型</w:t>
            </w:r>
          </w:p>
        </w:tc>
        <w:tc>
          <w:tcPr>
            <w:tcW w:w="5938" w:type="dxa"/>
            <w:gridSpan w:val="8"/>
            <w:tcBorders>
              <w:top w:val="single" w:color="000000" w:sz="4" w:space="0"/>
              <w:left w:val="single" w:color="000000" w:sz="4" w:space="0"/>
              <w:bottom w:val="single" w:color="000000" w:sz="4" w:space="0"/>
              <w:right w:val="single" w:color="000000" w:sz="4" w:space="0"/>
            </w:tcBorders>
            <w:noWrap w:val="0"/>
            <w:vAlign w:val="center"/>
          </w:tcPr>
          <w:p w14:paraId="420E6B8A">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color w:val="000000"/>
                <w:kern w:val="0"/>
                <w:sz w:val="24"/>
                <w:szCs w:val="24"/>
                <w:lang w:eastAsia="zh-CN" w:bidi="ar"/>
              </w:rPr>
              <w:t>经常性项目</w:t>
            </w:r>
          </w:p>
        </w:tc>
      </w:tr>
      <w:tr w14:paraId="37BCA9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49" w:type="dxa"/>
            <w:vMerge w:val="restart"/>
            <w:tcBorders>
              <w:top w:val="single" w:color="000000" w:sz="4" w:space="0"/>
              <w:left w:val="single" w:color="000000" w:sz="4" w:space="0"/>
              <w:bottom w:val="single" w:color="000000" w:sz="4" w:space="0"/>
              <w:right w:val="single" w:color="000000" w:sz="4" w:space="0"/>
            </w:tcBorders>
            <w:noWrap w:val="0"/>
            <w:vAlign w:val="center"/>
          </w:tcPr>
          <w:p w14:paraId="12A60C81">
            <w:pPr>
              <w:widowControl/>
              <w:spacing w:line="30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项目 概况</w:t>
            </w:r>
          </w:p>
        </w:tc>
        <w:tc>
          <w:tcPr>
            <w:tcW w:w="3846" w:type="dxa"/>
            <w:gridSpan w:val="5"/>
            <w:tcBorders>
              <w:top w:val="single" w:color="000000" w:sz="4" w:space="0"/>
              <w:left w:val="single" w:color="000000" w:sz="4" w:space="0"/>
              <w:bottom w:val="single" w:color="000000" w:sz="4" w:space="0"/>
              <w:right w:val="single" w:color="000000" w:sz="4" w:space="0"/>
            </w:tcBorders>
            <w:noWrap w:val="0"/>
            <w:vAlign w:val="center"/>
          </w:tcPr>
          <w:p w14:paraId="66506564">
            <w:pPr>
              <w:widowControl/>
              <w:spacing w:line="300" w:lineRule="exact"/>
              <w:jc w:val="left"/>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中长期规划（名称、文号，仅指</w:t>
            </w:r>
          </w:p>
          <w:p w14:paraId="5663A27C">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常年项目）</w:t>
            </w:r>
          </w:p>
        </w:tc>
        <w:tc>
          <w:tcPr>
            <w:tcW w:w="5938" w:type="dxa"/>
            <w:gridSpan w:val="8"/>
            <w:tcBorders>
              <w:top w:val="single" w:color="000000" w:sz="4" w:space="0"/>
              <w:left w:val="single" w:color="000000" w:sz="4" w:space="0"/>
              <w:bottom w:val="single" w:color="000000" w:sz="4" w:space="0"/>
              <w:right w:val="single" w:color="000000" w:sz="4" w:space="0"/>
            </w:tcBorders>
            <w:noWrap w:val="0"/>
            <w:vAlign w:val="center"/>
          </w:tcPr>
          <w:p w14:paraId="5BCC0EAC">
            <w:pPr>
              <w:spacing w:line="300" w:lineRule="exact"/>
              <w:jc w:val="left"/>
              <w:rPr>
                <w:rFonts w:hint="default" w:ascii="Times New Roman" w:hAnsi="Times New Roman" w:eastAsia="宋体" w:cs="Times New Roman"/>
                <w:i w:val="0"/>
                <w:color w:val="000000"/>
                <w:sz w:val="24"/>
                <w:szCs w:val="24"/>
                <w:u w:val="none"/>
              </w:rPr>
            </w:pPr>
            <w:r>
              <w:rPr>
                <w:rFonts w:hint="eastAsia" w:ascii="宋体" w:hAnsi="宋体" w:eastAsia="宋体" w:cs="宋体"/>
                <w:color w:val="000000"/>
                <w:sz w:val="24"/>
                <w:szCs w:val="24"/>
              </w:rPr>
              <w:t>无</w:t>
            </w:r>
          </w:p>
        </w:tc>
      </w:tr>
      <w:tr w14:paraId="082E3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2F22D039">
            <w:pPr>
              <w:spacing w:line="300" w:lineRule="exact"/>
              <w:rPr>
                <w:rFonts w:hint="default" w:ascii="Times New Roman" w:hAnsi="Times New Roman" w:eastAsia="宋体" w:cs="Times New Roman"/>
                <w:i w:val="0"/>
                <w:color w:val="000000"/>
                <w:sz w:val="24"/>
                <w:szCs w:val="24"/>
                <w:u w:val="none"/>
              </w:rPr>
            </w:pPr>
          </w:p>
        </w:tc>
        <w:tc>
          <w:tcPr>
            <w:tcW w:w="3846" w:type="dxa"/>
            <w:gridSpan w:val="5"/>
            <w:tcBorders>
              <w:top w:val="single" w:color="000000" w:sz="4" w:space="0"/>
              <w:left w:val="single" w:color="000000" w:sz="4" w:space="0"/>
              <w:bottom w:val="single" w:color="000000" w:sz="4" w:space="0"/>
              <w:right w:val="single" w:color="000000" w:sz="4" w:space="0"/>
            </w:tcBorders>
            <w:noWrap w:val="0"/>
            <w:vAlign w:val="center"/>
          </w:tcPr>
          <w:p w14:paraId="7CEBCB34">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资金管理办法（名称、文号）</w:t>
            </w:r>
          </w:p>
        </w:tc>
        <w:tc>
          <w:tcPr>
            <w:tcW w:w="5938" w:type="dxa"/>
            <w:gridSpan w:val="8"/>
            <w:tcBorders>
              <w:top w:val="single" w:color="000000" w:sz="4" w:space="0"/>
              <w:left w:val="single" w:color="000000" w:sz="4" w:space="0"/>
              <w:bottom w:val="single" w:color="000000" w:sz="4" w:space="0"/>
              <w:right w:val="single" w:color="000000" w:sz="4" w:space="0"/>
            </w:tcBorders>
            <w:noWrap w:val="0"/>
            <w:vAlign w:val="center"/>
          </w:tcPr>
          <w:p w14:paraId="55BBB675">
            <w:pPr>
              <w:spacing w:line="300" w:lineRule="exact"/>
              <w:jc w:val="left"/>
              <w:rPr>
                <w:rFonts w:hint="default" w:ascii="Times New Roman" w:hAnsi="Times New Roman" w:eastAsia="宋体" w:cs="Times New Roman"/>
                <w:i w:val="0"/>
                <w:color w:val="000000"/>
                <w:sz w:val="24"/>
                <w:szCs w:val="24"/>
                <w:u w:val="none"/>
              </w:rPr>
            </w:pPr>
            <w:r>
              <w:rPr>
                <w:rFonts w:hint="eastAsia" w:ascii="宋体" w:hAnsi="宋体" w:eastAsia="宋体" w:cs="宋体"/>
                <w:color w:val="000000"/>
                <w:sz w:val="24"/>
                <w:szCs w:val="24"/>
                <w:lang w:val="en-US" w:eastAsia="zh-CN"/>
              </w:rPr>
              <w:t>无</w:t>
            </w:r>
          </w:p>
        </w:tc>
      </w:tr>
      <w:tr w14:paraId="5E98E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E1AF677">
            <w:pPr>
              <w:spacing w:line="300" w:lineRule="exact"/>
              <w:rPr>
                <w:rFonts w:hint="default" w:ascii="Times New Roman" w:hAnsi="Times New Roman" w:eastAsia="宋体" w:cs="Times New Roman"/>
                <w:i w:val="0"/>
                <w:color w:val="000000"/>
                <w:sz w:val="24"/>
                <w:szCs w:val="24"/>
                <w:u w:val="none"/>
              </w:rPr>
            </w:pPr>
          </w:p>
        </w:tc>
        <w:tc>
          <w:tcPr>
            <w:tcW w:w="3846" w:type="dxa"/>
            <w:gridSpan w:val="5"/>
            <w:tcBorders>
              <w:top w:val="single" w:color="000000" w:sz="4" w:space="0"/>
              <w:left w:val="single" w:color="000000" w:sz="4" w:space="0"/>
              <w:bottom w:val="single" w:color="000000" w:sz="4" w:space="0"/>
              <w:right w:val="single" w:color="000000" w:sz="4" w:space="0"/>
            </w:tcBorders>
            <w:noWrap w:val="0"/>
            <w:vAlign w:val="center"/>
          </w:tcPr>
          <w:p w14:paraId="14A400A2">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绩效分配方式</w:t>
            </w:r>
          </w:p>
        </w:tc>
        <w:tc>
          <w:tcPr>
            <w:tcW w:w="944" w:type="dxa"/>
            <w:tcBorders>
              <w:top w:val="single" w:color="000000" w:sz="4" w:space="0"/>
              <w:left w:val="single" w:color="000000" w:sz="4" w:space="0"/>
              <w:bottom w:val="single" w:color="000000" w:sz="4" w:space="0"/>
              <w:right w:val="single" w:color="000000" w:sz="4" w:space="0"/>
            </w:tcBorders>
            <w:noWrap w:val="0"/>
            <w:vAlign w:val="center"/>
          </w:tcPr>
          <w:p w14:paraId="2EA4C31F">
            <w:pPr>
              <w:widowControl/>
              <w:spacing w:line="300" w:lineRule="exact"/>
              <w:jc w:val="left"/>
              <w:textAlignment w:val="center"/>
              <w:rPr>
                <w:rFonts w:hint="default" w:ascii="Times New Roman" w:hAnsi="Times New Roman" w:eastAsia="Wingdings 2" w:cs="Times New Roman"/>
                <w:i w:val="0"/>
                <w:color w:val="000000"/>
                <w:sz w:val="24"/>
                <w:szCs w:val="24"/>
                <w:u w:val="none"/>
              </w:rPr>
            </w:pPr>
            <w:r>
              <w:rPr>
                <w:rFonts w:ascii="Wingdings 2" w:hAnsi="Wingdings 2" w:eastAsia="Wingdings 2" w:cs="Wingdings 2"/>
                <w:color w:val="000000"/>
                <w:kern w:val="0"/>
                <w:sz w:val="24"/>
                <w:szCs w:val="24"/>
                <w:lang w:bidi="ar"/>
              </w:rPr>
              <w:t>£</w:t>
            </w:r>
            <w:r>
              <w:rPr>
                <w:rFonts w:ascii="宋体" w:hAnsi="宋体" w:eastAsia="宋体" w:cs="宋体"/>
                <w:color w:val="000000"/>
                <w:kern w:val="0"/>
                <w:sz w:val="24"/>
                <w:szCs w:val="24"/>
                <w:lang w:bidi="ar"/>
              </w:rPr>
              <w:t>因素法</w:t>
            </w:r>
          </w:p>
        </w:tc>
        <w:tc>
          <w:tcPr>
            <w:tcW w:w="2299" w:type="dxa"/>
            <w:gridSpan w:val="4"/>
            <w:tcBorders>
              <w:top w:val="single" w:color="000000" w:sz="4" w:space="0"/>
              <w:left w:val="single" w:color="000000" w:sz="4" w:space="0"/>
              <w:bottom w:val="single" w:color="000000" w:sz="4" w:space="0"/>
              <w:right w:val="single" w:color="000000" w:sz="4" w:space="0"/>
            </w:tcBorders>
            <w:noWrap w:val="0"/>
            <w:vAlign w:val="center"/>
          </w:tcPr>
          <w:p w14:paraId="271CE03A">
            <w:pPr>
              <w:widowControl/>
              <w:spacing w:line="300" w:lineRule="exact"/>
              <w:jc w:val="center"/>
              <w:textAlignment w:val="center"/>
              <w:rPr>
                <w:rFonts w:hint="default" w:ascii="Times New Roman" w:hAnsi="Times New Roman" w:eastAsia="Wingdings 2" w:cs="Times New Roman"/>
                <w:i w:val="0"/>
                <w:color w:val="000000"/>
                <w:sz w:val="24"/>
                <w:szCs w:val="24"/>
                <w:u w:val="none"/>
              </w:rPr>
            </w:pPr>
            <w:r>
              <w:rPr>
                <w:rFonts w:ascii="Wingdings 2" w:hAnsi="Wingdings 2" w:eastAsia="Wingdings 2" w:cs="Wingdings 2"/>
                <w:color w:val="000000"/>
                <w:kern w:val="0"/>
                <w:sz w:val="24"/>
                <w:szCs w:val="24"/>
                <w:lang w:bidi="ar"/>
              </w:rPr>
              <w:t>£项目法</w:t>
            </w:r>
          </w:p>
        </w:tc>
        <w:tc>
          <w:tcPr>
            <w:tcW w:w="1132" w:type="dxa"/>
            <w:tcBorders>
              <w:top w:val="single" w:color="000000" w:sz="4" w:space="0"/>
              <w:left w:val="single" w:color="000000" w:sz="4" w:space="0"/>
              <w:bottom w:val="single" w:color="000000" w:sz="4" w:space="0"/>
              <w:right w:val="single" w:color="000000" w:sz="4" w:space="0"/>
            </w:tcBorders>
            <w:noWrap w:val="0"/>
            <w:vAlign w:val="center"/>
          </w:tcPr>
          <w:p w14:paraId="7E70E5CC">
            <w:pPr>
              <w:widowControl/>
              <w:spacing w:line="300" w:lineRule="exact"/>
              <w:jc w:val="center"/>
              <w:textAlignment w:val="center"/>
              <w:rPr>
                <w:rFonts w:hint="default" w:ascii="Times New Roman" w:hAnsi="Times New Roman" w:eastAsia="Wingdings 2" w:cs="Times New Roman"/>
                <w:i w:val="0"/>
                <w:color w:val="000000"/>
                <w:sz w:val="24"/>
                <w:szCs w:val="24"/>
                <w:u w:val="none"/>
              </w:rPr>
            </w:pPr>
            <w:r>
              <w:rPr>
                <w:rFonts w:ascii="Wingdings 2" w:hAnsi="Wingdings 2" w:eastAsia="Wingdings 2" w:cs="Wingdings 2"/>
                <w:color w:val="000000"/>
                <w:kern w:val="0"/>
                <w:sz w:val="24"/>
                <w:szCs w:val="24"/>
                <w:lang w:bidi="ar"/>
              </w:rPr>
              <w:t>£</w:t>
            </w:r>
            <w:r>
              <w:rPr>
                <w:rFonts w:ascii="宋体" w:hAnsi="宋体" w:eastAsia="宋体" w:cs="宋体"/>
                <w:color w:val="000000"/>
                <w:kern w:val="0"/>
                <w:sz w:val="24"/>
                <w:szCs w:val="24"/>
                <w:lang w:bidi="ar"/>
              </w:rPr>
              <w:t>据实据效</w:t>
            </w:r>
          </w:p>
        </w:tc>
        <w:tc>
          <w:tcPr>
            <w:tcW w:w="1563" w:type="dxa"/>
            <w:gridSpan w:val="2"/>
            <w:tcBorders>
              <w:top w:val="single" w:color="000000" w:sz="4" w:space="0"/>
              <w:left w:val="single" w:color="000000" w:sz="4" w:space="0"/>
              <w:bottom w:val="single" w:color="000000" w:sz="4" w:space="0"/>
              <w:right w:val="single" w:color="000000" w:sz="4" w:space="0"/>
            </w:tcBorders>
            <w:noWrap w:val="0"/>
            <w:vAlign w:val="center"/>
          </w:tcPr>
          <w:p w14:paraId="742D3058">
            <w:pPr>
              <w:widowControl/>
              <w:spacing w:line="300" w:lineRule="exact"/>
              <w:jc w:val="center"/>
              <w:textAlignment w:val="center"/>
              <w:rPr>
                <w:rFonts w:hint="default" w:ascii="Times New Roman" w:hAnsi="Times New Roman" w:eastAsia="Wingdings 2" w:cs="Times New Roman"/>
                <w:i w:val="0"/>
                <w:color w:val="000000"/>
                <w:sz w:val="24"/>
                <w:szCs w:val="24"/>
                <w:u w:val="none"/>
              </w:rPr>
            </w:pPr>
            <w:r>
              <w:rPr>
                <w:rFonts w:hint="default" w:ascii="Arial" w:hAnsi="Arial" w:eastAsia="宋体" w:cs="Arial"/>
                <w:color w:val="000000"/>
                <w:kern w:val="0"/>
                <w:sz w:val="24"/>
                <w:szCs w:val="24"/>
                <w:lang w:bidi="ar"/>
              </w:rPr>
              <w:t>√</w:t>
            </w:r>
            <w:r>
              <w:rPr>
                <w:rFonts w:ascii="宋体" w:hAnsi="宋体" w:eastAsia="宋体" w:cs="宋体"/>
                <w:color w:val="000000"/>
                <w:kern w:val="0"/>
                <w:sz w:val="24"/>
                <w:szCs w:val="24"/>
                <w:lang w:bidi="ar"/>
              </w:rPr>
              <w:t>因素法与项目法相结合</w:t>
            </w:r>
          </w:p>
        </w:tc>
      </w:tr>
      <w:tr w14:paraId="06F38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83" w:hRule="atLeast"/>
          <w:jc w:val="center"/>
        </w:trPr>
        <w:tc>
          <w:tcPr>
            <w:tcW w:w="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68BB94">
            <w:pPr>
              <w:spacing w:line="300" w:lineRule="exact"/>
              <w:rPr>
                <w:rFonts w:hint="default" w:ascii="Times New Roman" w:hAnsi="Times New Roman" w:eastAsia="宋体" w:cs="Times New Roman"/>
                <w:i w:val="0"/>
                <w:color w:val="000000"/>
                <w:sz w:val="24"/>
                <w:szCs w:val="24"/>
                <w:u w:val="none"/>
              </w:rPr>
            </w:pPr>
          </w:p>
        </w:tc>
        <w:tc>
          <w:tcPr>
            <w:tcW w:w="3846" w:type="dxa"/>
            <w:gridSpan w:val="5"/>
            <w:tcBorders>
              <w:top w:val="single" w:color="000000" w:sz="4" w:space="0"/>
              <w:left w:val="single" w:color="000000" w:sz="4" w:space="0"/>
              <w:bottom w:val="single" w:color="000000" w:sz="4" w:space="0"/>
              <w:right w:val="single" w:color="000000" w:sz="4" w:space="0"/>
            </w:tcBorders>
            <w:noWrap w:val="0"/>
            <w:vAlign w:val="center"/>
          </w:tcPr>
          <w:p w14:paraId="29288DFD">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立项依据</w:t>
            </w:r>
          </w:p>
        </w:tc>
        <w:tc>
          <w:tcPr>
            <w:tcW w:w="5938" w:type="dxa"/>
            <w:gridSpan w:val="8"/>
            <w:tcBorders>
              <w:top w:val="single" w:color="000000" w:sz="4" w:space="0"/>
              <w:left w:val="single" w:color="000000" w:sz="4" w:space="0"/>
              <w:bottom w:val="single" w:color="000000" w:sz="4" w:space="0"/>
              <w:right w:val="single" w:color="000000" w:sz="4" w:space="0"/>
            </w:tcBorders>
            <w:noWrap w:val="0"/>
            <w:vAlign w:val="center"/>
          </w:tcPr>
          <w:p w14:paraId="72CAA700">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hint="default" w:ascii="宋体" w:hAnsi="宋体" w:eastAsia="宋体" w:cs="宋体"/>
                <w:color w:val="000000"/>
                <w:kern w:val="0"/>
                <w:sz w:val="24"/>
                <w:szCs w:val="24"/>
                <w:lang w:bidi="ar"/>
              </w:rPr>
              <w:t>随着城市化进程的加快和居民生活水平的提高，垃圾产生量不断增加，传统的垃圾处理方式已经难以满足需求。垃圾填埋场热解气化站作为一种新型、高效的垃圾处理方式，具有广阔的市场前景和需求空间。</w:t>
            </w:r>
          </w:p>
        </w:tc>
      </w:tr>
      <w:tr w14:paraId="60F7C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4D771BC1">
            <w:pPr>
              <w:spacing w:line="300" w:lineRule="exact"/>
              <w:rPr>
                <w:rFonts w:hint="default" w:ascii="Times New Roman" w:hAnsi="Times New Roman" w:eastAsia="宋体" w:cs="Times New Roman"/>
                <w:i w:val="0"/>
                <w:color w:val="000000"/>
                <w:sz w:val="24"/>
                <w:szCs w:val="24"/>
                <w:u w:val="none"/>
              </w:rPr>
            </w:pPr>
          </w:p>
        </w:tc>
        <w:tc>
          <w:tcPr>
            <w:tcW w:w="3846" w:type="dxa"/>
            <w:gridSpan w:val="5"/>
            <w:tcBorders>
              <w:top w:val="single" w:color="000000" w:sz="4" w:space="0"/>
              <w:left w:val="single" w:color="000000" w:sz="4" w:space="0"/>
              <w:bottom w:val="single" w:color="000000" w:sz="4" w:space="0"/>
              <w:right w:val="single" w:color="000000" w:sz="4" w:space="0"/>
            </w:tcBorders>
            <w:noWrap w:val="0"/>
            <w:vAlign w:val="center"/>
          </w:tcPr>
          <w:p w14:paraId="2C6E01CE">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使用范围</w:t>
            </w:r>
          </w:p>
        </w:tc>
        <w:tc>
          <w:tcPr>
            <w:tcW w:w="5938" w:type="dxa"/>
            <w:gridSpan w:val="8"/>
            <w:tcBorders>
              <w:top w:val="single" w:color="000000" w:sz="4" w:space="0"/>
              <w:left w:val="single" w:color="000000" w:sz="4" w:space="0"/>
              <w:bottom w:val="single" w:color="000000" w:sz="4" w:space="0"/>
              <w:right w:val="single" w:color="000000" w:sz="4" w:space="0"/>
            </w:tcBorders>
            <w:noWrap w:val="0"/>
            <w:vAlign w:val="center"/>
          </w:tcPr>
          <w:p w14:paraId="474B94E0">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hint="eastAsia" w:ascii="宋体" w:hAnsi="宋体" w:eastAsia="宋体" w:cs="宋体"/>
                <w:color w:val="000000"/>
                <w:kern w:val="0"/>
                <w:sz w:val="24"/>
                <w:szCs w:val="24"/>
                <w:lang w:val="en-US" w:eastAsia="zh-CN" w:bidi="ar"/>
              </w:rPr>
              <w:t>该项目资金主要用于</w:t>
            </w:r>
            <w:r>
              <w:rPr>
                <w:rFonts w:hint="default" w:ascii="宋体" w:hAnsi="宋体" w:eastAsia="宋体" w:cs="宋体"/>
                <w:color w:val="000000"/>
                <w:kern w:val="0"/>
                <w:sz w:val="24"/>
                <w:szCs w:val="24"/>
                <w:lang w:val="en-US" w:eastAsia="zh-CN" w:bidi="ar"/>
              </w:rPr>
              <w:t>城镇垃圾无害化处理焚烧厂在线监测维护</w:t>
            </w:r>
            <w:r>
              <w:rPr>
                <w:rFonts w:hint="eastAsia" w:ascii="宋体" w:hAnsi="宋体" w:eastAsia="宋体" w:cs="宋体"/>
                <w:color w:val="000000"/>
                <w:kern w:val="0"/>
                <w:sz w:val="24"/>
                <w:szCs w:val="24"/>
                <w:lang w:val="en-US" w:eastAsia="zh-CN" w:bidi="ar"/>
              </w:rPr>
              <w:t>。</w:t>
            </w:r>
          </w:p>
        </w:tc>
      </w:tr>
      <w:tr w14:paraId="19153B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14094B98">
            <w:pPr>
              <w:spacing w:line="300" w:lineRule="exact"/>
              <w:rPr>
                <w:rFonts w:hint="default" w:ascii="Times New Roman" w:hAnsi="Times New Roman" w:eastAsia="宋体" w:cs="Times New Roman"/>
                <w:i w:val="0"/>
                <w:color w:val="000000"/>
                <w:sz w:val="24"/>
                <w:szCs w:val="24"/>
                <w:u w:val="none"/>
              </w:rPr>
            </w:pPr>
          </w:p>
        </w:tc>
        <w:tc>
          <w:tcPr>
            <w:tcW w:w="3846" w:type="dxa"/>
            <w:gridSpan w:val="5"/>
            <w:tcBorders>
              <w:top w:val="single" w:color="000000" w:sz="4" w:space="0"/>
              <w:left w:val="single" w:color="000000" w:sz="4" w:space="0"/>
              <w:bottom w:val="single" w:color="000000" w:sz="4" w:space="0"/>
              <w:right w:val="single" w:color="000000" w:sz="4" w:space="0"/>
            </w:tcBorders>
            <w:noWrap w:val="0"/>
            <w:vAlign w:val="center"/>
          </w:tcPr>
          <w:p w14:paraId="11341753">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申报（补助）条件</w:t>
            </w:r>
          </w:p>
        </w:tc>
        <w:tc>
          <w:tcPr>
            <w:tcW w:w="5938" w:type="dxa"/>
            <w:gridSpan w:val="8"/>
            <w:tcBorders>
              <w:top w:val="single" w:color="000000" w:sz="4" w:space="0"/>
              <w:left w:val="single" w:color="000000" w:sz="4" w:space="0"/>
              <w:bottom w:val="single" w:color="000000" w:sz="4" w:space="0"/>
              <w:right w:val="single" w:color="000000" w:sz="4" w:space="0"/>
            </w:tcBorders>
            <w:noWrap w:val="0"/>
            <w:vAlign w:val="center"/>
          </w:tcPr>
          <w:p w14:paraId="401004CE">
            <w:pPr>
              <w:spacing w:line="300" w:lineRule="exact"/>
              <w:jc w:val="left"/>
              <w:rPr>
                <w:rFonts w:hint="default" w:ascii="Times New Roman" w:hAnsi="Times New Roman" w:eastAsia="宋体" w:cs="Times New Roman"/>
                <w:i w:val="0"/>
                <w:color w:val="000000"/>
                <w:sz w:val="24"/>
                <w:szCs w:val="24"/>
                <w:u w:val="none"/>
              </w:rPr>
            </w:pPr>
            <w:r>
              <w:rPr>
                <w:rFonts w:hint="eastAsia" w:ascii="宋体" w:hAnsi="宋体" w:eastAsia="宋体" w:cs="宋体"/>
                <w:color w:val="000000"/>
                <w:sz w:val="24"/>
                <w:szCs w:val="24"/>
                <w:lang w:eastAsia="zh-CN"/>
              </w:rPr>
              <w:t>无。</w:t>
            </w:r>
          </w:p>
        </w:tc>
      </w:tr>
      <w:tr w14:paraId="1AB94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49" w:type="dxa"/>
            <w:vMerge w:val="continue"/>
            <w:tcBorders>
              <w:top w:val="single" w:color="000000" w:sz="4" w:space="0"/>
              <w:left w:val="single" w:color="000000" w:sz="4" w:space="0"/>
              <w:bottom w:val="single" w:color="000000" w:sz="4" w:space="0"/>
              <w:right w:val="single" w:color="000000" w:sz="4" w:space="0"/>
            </w:tcBorders>
            <w:noWrap w:val="0"/>
            <w:vAlign w:val="center"/>
          </w:tcPr>
          <w:p w14:paraId="0F699689">
            <w:pPr>
              <w:spacing w:line="300" w:lineRule="exact"/>
              <w:rPr>
                <w:rFonts w:hint="default" w:ascii="Times New Roman" w:hAnsi="Times New Roman" w:eastAsia="宋体" w:cs="Times New Roman"/>
                <w:i w:val="0"/>
                <w:color w:val="000000"/>
                <w:sz w:val="24"/>
                <w:szCs w:val="24"/>
                <w:u w:val="none"/>
              </w:rPr>
            </w:pPr>
          </w:p>
        </w:tc>
        <w:tc>
          <w:tcPr>
            <w:tcW w:w="3846" w:type="dxa"/>
            <w:gridSpan w:val="5"/>
            <w:tcBorders>
              <w:top w:val="single" w:color="000000" w:sz="4" w:space="0"/>
              <w:left w:val="single" w:color="000000" w:sz="4" w:space="0"/>
              <w:bottom w:val="single" w:color="000000" w:sz="4" w:space="0"/>
              <w:right w:val="single" w:color="000000" w:sz="4" w:space="0"/>
            </w:tcBorders>
            <w:noWrap w:val="0"/>
            <w:vAlign w:val="center"/>
          </w:tcPr>
          <w:p w14:paraId="64FF35D4">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项目起止年限</w:t>
            </w:r>
          </w:p>
        </w:tc>
        <w:tc>
          <w:tcPr>
            <w:tcW w:w="5938" w:type="dxa"/>
            <w:gridSpan w:val="8"/>
            <w:tcBorders>
              <w:top w:val="single" w:color="000000" w:sz="4" w:space="0"/>
              <w:left w:val="single" w:color="000000" w:sz="4" w:space="0"/>
              <w:bottom w:val="single" w:color="000000" w:sz="4" w:space="0"/>
              <w:right w:val="single" w:color="000000" w:sz="4" w:space="0"/>
            </w:tcBorders>
            <w:noWrap w:val="0"/>
            <w:vAlign w:val="center"/>
          </w:tcPr>
          <w:p w14:paraId="6201AE53">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hint="eastAsia" w:eastAsia="宋体"/>
                <w:color w:val="000000"/>
                <w:kern w:val="0"/>
                <w:sz w:val="24"/>
                <w:szCs w:val="24"/>
                <w:lang w:bidi="ar"/>
              </w:rPr>
              <w:t>202</w:t>
            </w:r>
            <w:r>
              <w:rPr>
                <w:rFonts w:hint="eastAsia" w:eastAsia="宋体"/>
                <w:color w:val="000000"/>
                <w:kern w:val="0"/>
                <w:sz w:val="24"/>
                <w:szCs w:val="24"/>
                <w:lang w:val="en-US" w:eastAsia="zh-CN" w:bidi="ar"/>
              </w:rPr>
              <w:t>4</w:t>
            </w:r>
            <w:r>
              <w:rPr>
                <w:rFonts w:hint="eastAsia" w:eastAsia="宋体"/>
                <w:color w:val="000000"/>
                <w:kern w:val="0"/>
                <w:sz w:val="24"/>
                <w:szCs w:val="24"/>
                <w:lang w:bidi="ar"/>
              </w:rPr>
              <w:t>年</w:t>
            </w:r>
            <w:r>
              <w:rPr>
                <w:rFonts w:hint="eastAsia" w:eastAsia="宋体"/>
                <w:color w:val="000000"/>
                <w:kern w:val="0"/>
                <w:sz w:val="24"/>
                <w:szCs w:val="24"/>
                <w:lang w:val="en-US" w:eastAsia="zh-CN" w:bidi="ar"/>
              </w:rPr>
              <w:t>6</w:t>
            </w:r>
            <w:r>
              <w:rPr>
                <w:rFonts w:hint="eastAsia" w:eastAsia="宋体"/>
                <w:color w:val="000000"/>
                <w:kern w:val="0"/>
                <w:sz w:val="24"/>
                <w:szCs w:val="24"/>
                <w:lang w:bidi="ar"/>
              </w:rPr>
              <w:t>月至</w:t>
            </w:r>
            <w:r>
              <w:rPr>
                <w:rFonts w:eastAsia="宋体"/>
                <w:color w:val="000000"/>
                <w:kern w:val="0"/>
                <w:sz w:val="24"/>
                <w:szCs w:val="24"/>
                <w:lang w:bidi="ar"/>
              </w:rPr>
              <w:t>20</w:t>
            </w:r>
            <w:r>
              <w:rPr>
                <w:rFonts w:hint="eastAsia" w:eastAsia="宋体"/>
                <w:color w:val="000000"/>
                <w:kern w:val="0"/>
                <w:sz w:val="24"/>
                <w:szCs w:val="24"/>
                <w:lang w:val="en-US" w:eastAsia="zh-CN" w:bidi="ar"/>
              </w:rPr>
              <w:t>25</w:t>
            </w:r>
            <w:r>
              <w:rPr>
                <w:rFonts w:hint="eastAsia" w:eastAsia="宋体"/>
                <w:color w:val="000000"/>
                <w:kern w:val="0"/>
                <w:sz w:val="24"/>
                <w:szCs w:val="24"/>
                <w:lang w:bidi="ar"/>
              </w:rPr>
              <w:t>年</w:t>
            </w:r>
            <w:r>
              <w:rPr>
                <w:rFonts w:hint="eastAsia" w:eastAsia="宋体"/>
                <w:color w:val="000000"/>
                <w:kern w:val="0"/>
                <w:sz w:val="24"/>
                <w:szCs w:val="24"/>
                <w:lang w:val="en-US" w:eastAsia="zh-CN" w:bidi="ar"/>
              </w:rPr>
              <w:t>6</w:t>
            </w:r>
            <w:r>
              <w:rPr>
                <w:rFonts w:hint="eastAsia" w:eastAsia="宋体"/>
                <w:color w:val="000000"/>
                <w:kern w:val="0"/>
                <w:sz w:val="24"/>
                <w:szCs w:val="24"/>
                <w:lang w:bidi="ar"/>
              </w:rPr>
              <w:t>月</w:t>
            </w:r>
          </w:p>
        </w:tc>
      </w:tr>
      <w:tr w14:paraId="1E6E8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94" w:type="dxa"/>
            <w:gridSpan w:val="3"/>
            <w:vMerge w:val="restart"/>
            <w:tcBorders>
              <w:top w:val="single" w:color="000000" w:sz="4" w:space="0"/>
              <w:left w:val="single" w:color="000000" w:sz="4" w:space="0"/>
              <w:bottom w:val="single" w:color="000000" w:sz="4" w:space="0"/>
              <w:right w:val="single" w:color="000000" w:sz="4" w:space="0"/>
            </w:tcBorders>
            <w:noWrap w:val="0"/>
            <w:vAlign w:val="center"/>
          </w:tcPr>
          <w:p w14:paraId="4A81123D">
            <w:pPr>
              <w:widowControl/>
              <w:spacing w:line="300" w:lineRule="exact"/>
              <w:jc w:val="center"/>
              <w:textAlignment w:val="center"/>
              <w:rPr>
                <w:rFonts w:ascii="宋体" w:hAnsi="宋体" w:eastAsia="宋体" w:cs="宋体"/>
                <w:color w:val="000000"/>
                <w:kern w:val="0"/>
                <w:sz w:val="24"/>
                <w:szCs w:val="24"/>
                <w:lang w:bidi="ar"/>
              </w:rPr>
            </w:pPr>
            <w:r>
              <w:rPr>
                <w:rFonts w:ascii="宋体" w:hAnsi="宋体" w:eastAsia="宋体" w:cs="宋体"/>
                <w:color w:val="000000"/>
                <w:kern w:val="0"/>
                <w:sz w:val="24"/>
                <w:szCs w:val="24"/>
                <w:lang w:bidi="ar"/>
              </w:rPr>
              <w:t>项目资金</w:t>
            </w:r>
          </w:p>
          <w:p w14:paraId="40A87E7E">
            <w:pPr>
              <w:widowControl/>
              <w:spacing w:line="300" w:lineRule="exact"/>
              <w:jc w:val="center"/>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（万元）</w:t>
            </w:r>
          </w:p>
        </w:tc>
        <w:tc>
          <w:tcPr>
            <w:tcW w:w="3101" w:type="dxa"/>
            <w:gridSpan w:val="3"/>
            <w:tcBorders>
              <w:top w:val="single" w:color="000000" w:sz="4" w:space="0"/>
              <w:left w:val="single" w:color="000000" w:sz="4" w:space="0"/>
              <w:bottom w:val="single" w:color="000000" w:sz="4" w:space="0"/>
              <w:right w:val="single" w:color="000000" w:sz="4" w:space="0"/>
            </w:tcBorders>
            <w:noWrap w:val="0"/>
            <w:vAlign w:val="center"/>
          </w:tcPr>
          <w:p w14:paraId="0A823CE5">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 xml:space="preserve">  年度资金总额：</w:t>
            </w:r>
          </w:p>
        </w:tc>
        <w:tc>
          <w:tcPr>
            <w:tcW w:w="5938" w:type="dxa"/>
            <w:gridSpan w:val="8"/>
            <w:tcBorders>
              <w:top w:val="single" w:color="000000" w:sz="4" w:space="0"/>
              <w:left w:val="single" w:color="000000" w:sz="4" w:space="0"/>
              <w:bottom w:val="single" w:color="000000" w:sz="4" w:space="0"/>
              <w:right w:val="single" w:color="000000" w:sz="4" w:space="0"/>
            </w:tcBorders>
            <w:noWrap w:val="0"/>
            <w:vAlign w:val="center"/>
          </w:tcPr>
          <w:p w14:paraId="4CA53225">
            <w:pPr>
              <w:widowControl/>
              <w:spacing w:line="300" w:lineRule="exact"/>
              <w:jc w:val="left"/>
              <w:textAlignment w:val="center"/>
              <w:rPr>
                <w:rFonts w:hint="default" w:ascii="Times New Roman" w:hAnsi="Times New Roman" w:eastAsia="宋体" w:cs="Times New Roman"/>
                <w:i w:val="0"/>
                <w:color w:val="000000"/>
                <w:sz w:val="24"/>
                <w:szCs w:val="24"/>
                <w:u w:val="none"/>
                <w:lang w:val="en-US"/>
              </w:rPr>
            </w:pPr>
            <w:r>
              <w:rPr>
                <w:rFonts w:hint="eastAsia" w:ascii="Times New Roman" w:hAnsi="Times New Roman" w:eastAsia="宋体" w:cs="Times New Roman"/>
                <w:color w:val="000000"/>
                <w:kern w:val="0"/>
                <w:sz w:val="24"/>
                <w:szCs w:val="24"/>
                <w:lang w:val="en-US" w:eastAsia="zh-CN" w:bidi="ar"/>
              </w:rPr>
              <w:t>13</w:t>
            </w:r>
          </w:p>
        </w:tc>
      </w:tr>
      <w:tr w14:paraId="0C1219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94"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5FDADE48">
            <w:pPr>
              <w:spacing w:line="300" w:lineRule="exact"/>
              <w:rPr>
                <w:rFonts w:hint="default" w:ascii="Times New Roman" w:hAnsi="Times New Roman" w:eastAsia="宋体" w:cs="Times New Roman"/>
                <w:i w:val="0"/>
                <w:color w:val="000000"/>
                <w:sz w:val="24"/>
                <w:szCs w:val="24"/>
                <w:u w:val="none"/>
              </w:rPr>
            </w:pPr>
          </w:p>
        </w:tc>
        <w:tc>
          <w:tcPr>
            <w:tcW w:w="3101" w:type="dxa"/>
            <w:gridSpan w:val="3"/>
            <w:tcBorders>
              <w:top w:val="single" w:color="000000" w:sz="4" w:space="0"/>
              <w:left w:val="single" w:color="000000" w:sz="4" w:space="0"/>
              <w:bottom w:val="single" w:color="000000" w:sz="4" w:space="0"/>
              <w:right w:val="single" w:color="000000" w:sz="4" w:space="0"/>
            </w:tcBorders>
            <w:noWrap w:val="0"/>
            <w:vAlign w:val="center"/>
          </w:tcPr>
          <w:p w14:paraId="15B895F5">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 xml:space="preserve">     </w:t>
            </w:r>
            <w:r>
              <w:rPr>
                <w:rFonts w:hint="eastAsia" w:ascii="宋体" w:hAnsi="宋体" w:eastAsia="宋体" w:cs="宋体"/>
                <w:color w:val="000000"/>
                <w:kern w:val="0"/>
                <w:sz w:val="24"/>
                <w:szCs w:val="24"/>
                <w:lang w:bidi="ar"/>
              </w:rPr>
              <w:t xml:space="preserve"> </w:t>
            </w:r>
            <w:r>
              <w:rPr>
                <w:rFonts w:ascii="宋体" w:hAnsi="宋体" w:eastAsia="宋体" w:cs="宋体"/>
                <w:color w:val="000000"/>
                <w:kern w:val="0"/>
                <w:sz w:val="24"/>
                <w:szCs w:val="24"/>
                <w:lang w:bidi="ar"/>
              </w:rPr>
              <w:t>其中：财政拨款</w:t>
            </w:r>
          </w:p>
        </w:tc>
        <w:tc>
          <w:tcPr>
            <w:tcW w:w="5938" w:type="dxa"/>
            <w:gridSpan w:val="8"/>
            <w:tcBorders>
              <w:top w:val="single" w:color="000000" w:sz="4" w:space="0"/>
              <w:left w:val="single" w:color="000000" w:sz="4" w:space="0"/>
              <w:bottom w:val="single" w:color="000000" w:sz="4" w:space="0"/>
              <w:right w:val="single" w:color="000000" w:sz="4" w:space="0"/>
            </w:tcBorders>
            <w:noWrap w:val="0"/>
            <w:vAlign w:val="center"/>
          </w:tcPr>
          <w:p w14:paraId="680BFB14">
            <w:pPr>
              <w:widowControl/>
              <w:spacing w:line="300" w:lineRule="exact"/>
              <w:jc w:val="left"/>
              <w:textAlignment w:val="center"/>
              <w:rPr>
                <w:rFonts w:hint="default" w:ascii="Times New Roman" w:hAnsi="Times New Roman" w:eastAsia="宋体" w:cs="Times New Roman"/>
                <w:i w:val="0"/>
                <w:color w:val="000000"/>
                <w:sz w:val="24"/>
                <w:szCs w:val="24"/>
                <w:u w:val="none"/>
                <w:lang w:val="en-US"/>
              </w:rPr>
            </w:pPr>
            <w:r>
              <w:rPr>
                <w:rFonts w:hint="eastAsia" w:ascii="Times New Roman" w:hAnsi="Times New Roman" w:eastAsia="宋体" w:cs="Times New Roman"/>
                <w:color w:val="000000"/>
                <w:kern w:val="0"/>
                <w:sz w:val="24"/>
                <w:szCs w:val="24"/>
                <w:lang w:val="en-US" w:eastAsia="zh-CN" w:bidi="ar"/>
              </w:rPr>
              <w:t>13</w:t>
            </w:r>
          </w:p>
        </w:tc>
      </w:tr>
      <w:tr w14:paraId="5750BC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1194" w:type="dxa"/>
            <w:gridSpan w:val="3"/>
            <w:vMerge w:val="continue"/>
            <w:tcBorders>
              <w:top w:val="single" w:color="000000" w:sz="4" w:space="0"/>
              <w:left w:val="single" w:color="000000" w:sz="4" w:space="0"/>
              <w:bottom w:val="single" w:color="000000" w:sz="4" w:space="0"/>
              <w:right w:val="single" w:color="000000" w:sz="4" w:space="0"/>
            </w:tcBorders>
            <w:noWrap w:val="0"/>
            <w:vAlign w:val="center"/>
          </w:tcPr>
          <w:p w14:paraId="2BF51501">
            <w:pPr>
              <w:spacing w:line="300" w:lineRule="exact"/>
              <w:rPr>
                <w:rFonts w:hint="default" w:ascii="Times New Roman" w:hAnsi="Times New Roman" w:eastAsia="宋体" w:cs="Times New Roman"/>
                <w:i w:val="0"/>
                <w:color w:val="000000"/>
                <w:sz w:val="24"/>
                <w:szCs w:val="24"/>
                <w:u w:val="none"/>
              </w:rPr>
            </w:pPr>
          </w:p>
        </w:tc>
        <w:tc>
          <w:tcPr>
            <w:tcW w:w="3101" w:type="dxa"/>
            <w:gridSpan w:val="3"/>
            <w:tcBorders>
              <w:top w:val="single" w:color="000000" w:sz="4" w:space="0"/>
              <w:left w:val="single" w:color="000000" w:sz="4" w:space="0"/>
              <w:bottom w:val="single" w:color="000000" w:sz="4" w:space="0"/>
              <w:right w:val="single" w:color="000000" w:sz="4" w:space="0"/>
            </w:tcBorders>
            <w:noWrap w:val="0"/>
            <w:vAlign w:val="center"/>
          </w:tcPr>
          <w:p w14:paraId="3BA1F274">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ascii="宋体" w:hAnsi="宋体" w:eastAsia="宋体" w:cs="宋体"/>
                <w:color w:val="000000"/>
                <w:kern w:val="0"/>
                <w:sz w:val="24"/>
                <w:szCs w:val="24"/>
                <w:lang w:bidi="ar"/>
              </w:rPr>
              <w:t xml:space="preserve">            其他资金</w:t>
            </w:r>
          </w:p>
        </w:tc>
        <w:tc>
          <w:tcPr>
            <w:tcW w:w="5938" w:type="dxa"/>
            <w:gridSpan w:val="8"/>
            <w:tcBorders>
              <w:top w:val="single" w:color="000000" w:sz="4" w:space="0"/>
              <w:left w:val="single" w:color="000000" w:sz="4" w:space="0"/>
              <w:bottom w:val="single" w:color="000000" w:sz="4" w:space="0"/>
              <w:right w:val="single" w:color="000000" w:sz="4" w:space="0"/>
            </w:tcBorders>
            <w:noWrap w:val="0"/>
            <w:vAlign w:val="center"/>
          </w:tcPr>
          <w:p w14:paraId="55550F89">
            <w:pPr>
              <w:widowControl/>
              <w:spacing w:line="300" w:lineRule="exact"/>
              <w:jc w:val="left"/>
              <w:textAlignment w:val="center"/>
              <w:rPr>
                <w:rFonts w:hint="default" w:ascii="Times New Roman" w:hAnsi="Times New Roman" w:eastAsia="宋体" w:cs="Times New Roman"/>
                <w:i w:val="0"/>
                <w:color w:val="000000"/>
                <w:sz w:val="24"/>
                <w:szCs w:val="24"/>
                <w:u w:val="none"/>
              </w:rPr>
            </w:pPr>
            <w:r>
              <w:rPr>
                <w:rFonts w:hint="eastAsia" w:ascii="Times New Roman" w:hAnsi="Times New Roman" w:eastAsia="宋体" w:cs="Times New Roman"/>
                <w:color w:val="000000"/>
                <w:kern w:val="0"/>
                <w:sz w:val="24"/>
                <w:szCs w:val="24"/>
                <w:lang w:bidi="ar"/>
              </w:rPr>
              <w:t>0</w:t>
            </w:r>
          </w:p>
        </w:tc>
      </w:tr>
      <w:tr w14:paraId="2BE31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1141D8E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总体 目标</w:t>
            </w:r>
          </w:p>
        </w:tc>
        <w:tc>
          <w:tcPr>
            <w:tcW w:w="9581" w:type="dxa"/>
            <w:gridSpan w:val="12"/>
            <w:tcBorders>
              <w:top w:val="single" w:color="000000" w:sz="4" w:space="0"/>
              <w:left w:val="single" w:color="000000" w:sz="4" w:space="0"/>
              <w:bottom w:val="single" w:color="000000" w:sz="4" w:space="0"/>
              <w:right w:val="single" w:color="000000" w:sz="4" w:space="0"/>
            </w:tcBorders>
            <w:noWrap w:val="0"/>
            <w:vAlign w:val="center"/>
          </w:tcPr>
          <w:p w14:paraId="10032B4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年度目标</w:t>
            </w:r>
          </w:p>
        </w:tc>
      </w:tr>
      <w:tr w14:paraId="2ED41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7DF0AE79">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c>
          <w:tcPr>
            <w:tcW w:w="9581" w:type="dxa"/>
            <w:gridSpan w:val="12"/>
            <w:tcBorders>
              <w:top w:val="single" w:color="000000" w:sz="4" w:space="0"/>
              <w:left w:val="single" w:color="000000" w:sz="4" w:space="0"/>
              <w:bottom w:val="single" w:color="000000" w:sz="4" w:space="0"/>
              <w:right w:val="single" w:color="000000" w:sz="4" w:space="0"/>
            </w:tcBorders>
            <w:noWrap w:val="0"/>
            <w:vAlign w:val="center"/>
          </w:tcPr>
          <w:p w14:paraId="18315FEC">
            <w:pPr>
              <w:keepNext w:val="0"/>
              <w:keepLines w:val="0"/>
              <w:pageBreakBefore w:val="0"/>
              <w:kinsoku/>
              <w:wordWrap/>
              <w:overflowPunct/>
              <w:topLinePunct w:val="0"/>
              <w:autoSpaceDE/>
              <w:autoSpaceDN/>
              <w:bidi w:val="0"/>
              <w:adjustRightInd/>
              <w:snapToGrid/>
              <w:spacing w:line="300" w:lineRule="exact"/>
              <w:ind w:left="0" w:leftChars="0"/>
              <w:rPr>
                <w:rFonts w:hint="default" w:ascii="Times New Roman" w:hAnsi="Times New Roman" w:eastAsia="宋体" w:cs="Times New Roman"/>
                <w:i w:val="0"/>
                <w:color w:val="000000"/>
                <w:sz w:val="24"/>
                <w:szCs w:val="24"/>
                <w:u w:val="none"/>
              </w:rPr>
            </w:pPr>
          </w:p>
        </w:tc>
      </w:tr>
      <w:tr w14:paraId="545408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gridSpan w:val="2"/>
            <w:vMerge w:val="restart"/>
            <w:tcBorders>
              <w:top w:val="single" w:color="000000" w:sz="4" w:space="0"/>
              <w:left w:val="single" w:color="000000" w:sz="4" w:space="0"/>
              <w:bottom w:val="single" w:color="000000" w:sz="4" w:space="0"/>
            </w:tcBorders>
            <w:noWrap w:val="0"/>
            <w:vAlign w:val="center"/>
          </w:tcPr>
          <w:p w14:paraId="3E795D20">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绩效 指标</w:t>
            </w:r>
          </w:p>
        </w:tc>
        <w:tc>
          <w:tcPr>
            <w:tcW w:w="1081" w:type="dxa"/>
            <w:gridSpan w:val="2"/>
            <w:tcBorders>
              <w:top w:val="single" w:color="000000" w:sz="4" w:space="0"/>
              <w:left w:val="single" w:color="000000" w:sz="4" w:space="0"/>
              <w:bottom w:val="single" w:color="000000" w:sz="4" w:space="0"/>
              <w:right w:val="single" w:color="000000" w:sz="4" w:space="0"/>
            </w:tcBorders>
            <w:noWrap w:val="0"/>
            <w:vAlign w:val="center"/>
          </w:tcPr>
          <w:p w14:paraId="4F912EE8">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一级指标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60A234D6">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二级指标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341DB6F">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三级指标</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14:paraId="39EDA4C5">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指标性质</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14:paraId="03A2659E">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指标值</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128C4A01">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度量单位</w:t>
            </w:r>
          </w:p>
        </w:tc>
        <w:tc>
          <w:tcPr>
            <w:tcW w:w="1351" w:type="dxa"/>
            <w:gridSpan w:val="3"/>
            <w:tcBorders>
              <w:top w:val="single" w:color="000000" w:sz="4" w:space="0"/>
              <w:left w:val="single" w:color="000000" w:sz="4" w:space="0"/>
              <w:bottom w:val="single" w:color="000000" w:sz="4" w:space="0"/>
              <w:right w:val="single" w:color="000000" w:sz="4" w:space="0"/>
            </w:tcBorders>
            <w:noWrap w:val="0"/>
            <w:vAlign w:val="center"/>
          </w:tcPr>
          <w:p w14:paraId="653289FC">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权重</w:t>
            </w:r>
          </w:p>
        </w:tc>
        <w:tc>
          <w:tcPr>
            <w:tcW w:w="1428" w:type="dxa"/>
            <w:tcBorders>
              <w:top w:val="single" w:color="000000" w:sz="4" w:space="0"/>
              <w:left w:val="single" w:color="000000" w:sz="4" w:space="0"/>
              <w:bottom w:val="single" w:color="000000" w:sz="4" w:space="0"/>
              <w:right w:val="single" w:color="000000" w:sz="4" w:space="0"/>
            </w:tcBorders>
            <w:noWrap w:val="0"/>
            <w:vAlign w:val="center"/>
          </w:tcPr>
          <w:p w14:paraId="039A6C59">
            <w:pPr>
              <w:keepNext w:val="0"/>
              <w:keepLines w:val="0"/>
              <w:pageBreakBefore w:val="0"/>
              <w:widowControl/>
              <w:suppressLineNumbers w:val="0"/>
              <w:kinsoku/>
              <w:wordWrap/>
              <w:overflowPunct/>
              <w:topLinePunct w:val="0"/>
              <w:autoSpaceDE/>
              <w:autoSpaceDN/>
              <w:bidi w:val="0"/>
              <w:adjustRightInd/>
              <w:snapToGrid/>
              <w:spacing w:line="300" w:lineRule="exact"/>
              <w:ind w:left="0" w:leftChars="0"/>
              <w:jc w:val="center"/>
              <w:textAlignment w:val="center"/>
              <w:rPr>
                <w:rFonts w:hint="default" w:ascii="Times New Roman" w:hAnsi="Times New Roman" w:eastAsia="宋体" w:cs="Times New Roman"/>
                <w:i w:val="0"/>
                <w:color w:val="000000"/>
                <w:sz w:val="24"/>
                <w:szCs w:val="24"/>
                <w:u w:val="none"/>
              </w:rPr>
            </w:pPr>
            <w:r>
              <w:rPr>
                <w:rFonts w:hint="default" w:ascii="Times New Roman" w:hAnsi="Times New Roman" w:eastAsia="宋体" w:cs="Times New Roman"/>
                <w:i w:val="0"/>
                <w:color w:val="000000"/>
                <w:kern w:val="0"/>
                <w:sz w:val="24"/>
                <w:szCs w:val="24"/>
                <w:u w:val="none"/>
                <w:lang w:val="en-US" w:eastAsia="zh-CN" w:bidi="ar"/>
              </w:rPr>
              <w:t>实际完成指标值</w:t>
            </w:r>
          </w:p>
        </w:tc>
      </w:tr>
      <w:tr w14:paraId="0D6E26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3827CAFF">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707A1A84">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default" w:ascii="宋体" w:hAnsi="宋体" w:eastAsia="宋体" w:cs="宋体"/>
                <w:color w:val="000000"/>
                <w:kern w:val="0"/>
                <w:sz w:val="24"/>
                <w:szCs w:val="24"/>
                <w:lang w:val="en-US" w:eastAsia="zh-CN" w:bidi="ar"/>
              </w:rPr>
              <w:t>产出指标</w:t>
            </w: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75B99B20">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数量指标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0D76FB10">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CEMS系统数量</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14:paraId="392835F0">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14:paraId="0E38A2ED">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3B34D561">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个</w:t>
            </w:r>
          </w:p>
        </w:tc>
        <w:tc>
          <w:tcPr>
            <w:tcW w:w="1351" w:type="dxa"/>
            <w:gridSpan w:val="3"/>
            <w:tcBorders>
              <w:top w:val="single" w:color="000000" w:sz="4" w:space="0"/>
              <w:left w:val="single" w:color="000000" w:sz="4" w:space="0"/>
              <w:bottom w:val="single" w:color="000000" w:sz="4" w:space="0"/>
              <w:right w:val="single" w:color="000000" w:sz="4" w:space="0"/>
            </w:tcBorders>
            <w:noWrap w:val="0"/>
            <w:vAlign w:val="center"/>
          </w:tcPr>
          <w:p w14:paraId="275F6142">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428" w:type="dxa"/>
            <w:tcBorders>
              <w:top w:val="single" w:color="000000" w:sz="4" w:space="0"/>
              <w:left w:val="single" w:color="000000" w:sz="4" w:space="0"/>
              <w:bottom w:val="single" w:color="000000" w:sz="4" w:space="0"/>
              <w:right w:val="single" w:color="000000" w:sz="4" w:space="0"/>
            </w:tcBorders>
            <w:noWrap w:val="0"/>
            <w:vAlign w:val="center"/>
          </w:tcPr>
          <w:p w14:paraId="7C87A2A2">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r>
      <w:tr w14:paraId="24638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322015A5">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94A1C05">
            <w:pPr>
              <w:widowControl/>
              <w:spacing w:line="300" w:lineRule="exact"/>
              <w:jc w:val="left"/>
              <w:textAlignment w:val="center"/>
              <w:rPr>
                <w:rFonts w:hint="default" w:ascii="宋体" w:hAnsi="宋体" w:eastAsia="宋体" w:cs="宋体"/>
                <w:color w:val="000000"/>
                <w:kern w:val="0"/>
                <w:sz w:val="24"/>
                <w:szCs w:val="24"/>
                <w:lang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69DCDF67">
            <w:pPr>
              <w:widowControl/>
              <w:spacing w:line="300" w:lineRule="exact"/>
              <w:jc w:val="left"/>
              <w:textAlignment w:val="center"/>
              <w:rPr>
                <w:rFonts w:hint="default" w:ascii="宋体" w:hAnsi="宋体" w:eastAsia="宋体" w:cs="宋体"/>
                <w:color w:val="000000"/>
                <w:kern w:val="0"/>
                <w:sz w:val="24"/>
                <w:szCs w:val="24"/>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DDAA28B">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投放化学药剂</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14:paraId="532D9B4E">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14:paraId="1021A787">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52</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5673D7B7">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次</w:t>
            </w:r>
          </w:p>
        </w:tc>
        <w:tc>
          <w:tcPr>
            <w:tcW w:w="1351" w:type="dxa"/>
            <w:gridSpan w:val="3"/>
            <w:tcBorders>
              <w:top w:val="single" w:color="000000" w:sz="4" w:space="0"/>
              <w:left w:val="single" w:color="000000" w:sz="4" w:space="0"/>
              <w:bottom w:val="single" w:color="000000" w:sz="4" w:space="0"/>
              <w:right w:val="single" w:color="000000" w:sz="4" w:space="0"/>
            </w:tcBorders>
            <w:noWrap w:val="0"/>
            <w:vAlign w:val="center"/>
          </w:tcPr>
          <w:p w14:paraId="7495C13D">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w:t>
            </w:r>
          </w:p>
        </w:tc>
        <w:tc>
          <w:tcPr>
            <w:tcW w:w="1428" w:type="dxa"/>
            <w:tcBorders>
              <w:top w:val="single" w:color="000000" w:sz="4" w:space="0"/>
              <w:left w:val="single" w:color="000000" w:sz="4" w:space="0"/>
              <w:bottom w:val="single" w:color="000000" w:sz="4" w:space="0"/>
              <w:right w:val="single" w:color="000000" w:sz="4" w:space="0"/>
            </w:tcBorders>
            <w:noWrap w:val="0"/>
            <w:vAlign w:val="center"/>
          </w:tcPr>
          <w:p w14:paraId="56944264">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52</w:t>
            </w:r>
          </w:p>
        </w:tc>
      </w:tr>
      <w:tr w14:paraId="7E975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21EF287E">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04EDF766">
            <w:pPr>
              <w:widowControl/>
              <w:spacing w:line="300" w:lineRule="exact"/>
              <w:jc w:val="left"/>
              <w:textAlignment w:val="center"/>
              <w:rPr>
                <w:rFonts w:hint="default" w:ascii="宋体" w:hAnsi="宋体" w:eastAsia="宋体" w:cs="宋体"/>
                <w:color w:val="000000"/>
                <w:kern w:val="0"/>
                <w:sz w:val="24"/>
                <w:szCs w:val="24"/>
                <w:lang w:eastAsia="zh-CN" w:bidi="ar"/>
              </w:rPr>
            </w:pPr>
          </w:p>
        </w:tc>
        <w:tc>
          <w:tcPr>
            <w:tcW w:w="1250" w:type="dxa"/>
            <w:vMerge w:val="restart"/>
            <w:tcBorders>
              <w:top w:val="single" w:color="000000" w:sz="4" w:space="0"/>
              <w:left w:val="single" w:color="000000" w:sz="4" w:space="0"/>
              <w:bottom w:val="single" w:color="000000" w:sz="4" w:space="0"/>
              <w:right w:val="single" w:color="000000" w:sz="4" w:space="0"/>
            </w:tcBorders>
            <w:noWrap w:val="0"/>
            <w:vAlign w:val="center"/>
          </w:tcPr>
          <w:p w14:paraId="44CE4524">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质量指标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FF1356B">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清扫CEMS站房</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14:paraId="5AC36FB2">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定性</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14:paraId="5052799A">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站房空调内外制冷效果正常</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1325B7FA">
            <w:pPr>
              <w:widowControl/>
              <w:spacing w:line="300" w:lineRule="exact"/>
              <w:jc w:val="left"/>
              <w:textAlignment w:val="center"/>
              <w:rPr>
                <w:rFonts w:hint="default" w:ascii="宋体" w:hAnsi="宋体" w:eastAsia="宋体" w:cs="宋体"/>
                <w:color w:val="000000"/>
                <w:kern w:val="0"/>
                <w:sz w:val="24"/>
                <w:szCs w:val="24"/>
                <w:lang w:val="en-US" w:eastAsia="zh-CN" w:bidi="ar"/>
              </w:rPr>
            </w:pPr>
          </w:p>
        </w:tc>
        <w:tc>
          <w:tcPr>
            <w:tcW w:w="1351" w:type="dxa"/>
            <w:gridSpan w:val="3"/>
            <w:tcBorders>
              <w:top w:val="single" w:color="000000" w:sz="4" w:space="0"/>
              <w:left w:val="single" w:color="000000" w:sz="4" w:space="0"/>
              <w:bottom w:val="single" w:color="000000" w:sz="4" w:space="0"/>
              <w:right w:val="single" w:color="000000" w:sz="4" w:space="0"/>
            </w:tcBorders>
            <w:noWrap w:val="0"/>
            <w:vAlign w:val="center"/>
          </w:tcPr>
          <w:p w14:paraId="316FECBB">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428" w:type="dxa"/>
            <w:tcBorders>
              <w:top w:val="single" w:color="000000" w:sz="4" w:space="0"/>
              <w:left w:val="single" w:color="000000" w:sz="4" w:space="0"/>
              <w:bottom w:val="single" w:color="000000" w:sz="4" w:space="0"/>
              <w:right w:val="single" w:color="000000" w:sz="4" w:space="0"/>
            </w:tcBorders>
            <w:noWrap w:val="0"/>
            <w:vAlign w:val="center"/>
          </w:tcPr>
          <w:p w14:paraId="1820EBE3">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站房空调内外制冷效果正常</w:t>
            </w:r>
          </w:p>
        </w:tc>
      </w:tr>
      <w:tr w14:paraId="4F09FC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3DCA190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6E2E65F6">
            <w:pPr>
              <w:widowControl/>
              <w:spacing w:line="300" w:lineRule="exact"/>
              <w:jc w:val="left"/>
              <w:textAlignment w:val="center"/>
              <w:rPr>
                <w:rFonts w:hint="default" w:ascii="宋体" w:hAnsi="宋体" w:eastAsia="宋体" w:cs="宋体"/>
                <w:color w:val="000000"/>
                <w:kern w:val="0"/>
                <w:sz w:val="24"/>
                <w:szCs w:val="24"/>
                <w:lang w:eastAsia="zh-CN" w:bidi="ar"/>
              </w:rPr>
            </w:pPr>
          </w:p>
        </w:tc>
        <w:tc>
          <w:tcPr>
            <w:tcW w:w="125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035DB64">
            <w:pPr>
              <w:widowControl/>
              <w:spacing w:line="300" w:lineRule="exact"/>
              <w:jc w:val="left"/>
              <w:textAlignment w:val="center"/>
              <w:rPr>
                <w:rFonts w:hint="default" w:ascii="宋体" w:hAnsi="宋体" w:eastAsia="宋体" w:cs="宋体"/>
                <w:color w:val="000000"/>
                <w:kern w:val="0"/>
                <w:sz w:val="24"/>
                <w:szCs w:val="24"/>
                <w:lang w:val="en-US" w:eastAsia="zh-CN" w:bidi="ar"/>
              </w:rPr>
            </w:pP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966C8D2">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CEMS系统维修、维护质量</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14:paraId="1EBEE5F7">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定性</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14:paraId="736940E8">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达到行业规范标准</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56425D12">
            <w:pPr>
              <w:widowControl/>
              <w:spacing w:line="300" w:lineRule="exact"/>
              <w:jc w:val="left"/>
              <w:textAlignment w:val="center"/>
              <w:rPr>
                <w:rFonts w:hint="default" w:ascii="宋体" w:hAnsi="宋体" w:eastAsia="宋体" w:cs="宋体"/>
                <w:color w:val="000000"/>
                <w:kern w:val="0"/>
                <w:sz w:val="24"/>
                <w:szCs w:val="24"/>
                <w:lang w:val="en-US" w:eastAsia="zh-CN" w:bidi="ar"/>
              </w:rPr>
            </w:pPr>
          </w:p>
        </w:tc>
        <w:tc>
          <w:tcPr>
            <w:tcW w:w="1351" w:type="dxa"/>
            <w:gridSpan w:val="3"/>
            <w:tcBorders>
              <w:top w:val="single" w:color="000000" w:sz="4" w:space="0"/>
              <w:left w:val="single" w:color="000000" w:sz="4" w:space="0"/>
              <w:bottom w:val="single" w:color="000000" w:sz="4" w:space="0"/>
              <w:right w:val="single" w:color="000000" w:sz="4" w:space="0"/>
            </w:tcBorders>
            <w:noWrap w:val="0"/>
            <w:vAlign w:val="center"/>
          </w:tcPr>
          <w:p w14:paraId="57F2DD72">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20</w:t>
            </w:r>
          </w:p>
        </w:tc>
        <w:tc>
          <w:tcPr>
            <w:tcW w:w="1428" w:type="dxa"/>
            <w:tcBorders>
              <w:top w:val="single" w:color="000000" w:sz="4" w:space="0"/>
              <w:left w:val="single" w:color="000000" w:sz="4" w:space="0"/>
              <w:bottom w:val="single" w:color="000000" w:sz="4" w:space="0"/>
              <w:right w:val="single" w:color="000000" w:sz="4" w:space="0"/>
            </w:tcBorders>
            <w:noWrap w:val="0"/>
            <w:vAlign w:val="center"/>
          </w:tcPr>
          <w:p w14:paraId="6F5B6A0E">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达到行业规范标准</w:t>
            </w:r>
          </w:p>
        </w:tc>
      </w:tr>
      <w:tr w14:paraId="3033E1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3776F34C">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7B7F906">
            <w:pPr>
              <w:widowControl/>
              <w:spacing w:line="300" w:lineRule="exact"/>
              <w:jc w:val="left"/>
              <w:textAlignment w:val="center"/>
              <w:rPr>
                <w:rFonts w:hint="default" w:ascii="宋体" w:hAnsi="宋体" w:eastAsia="宋体" w:cs="宋体"/>
                <w:color w:val="000000"/>
                <w:kern w:val="0"/>
                <w:sz w:val="24"/>
                <w:szCs w:val="24"/>
                <w:lang w:eastAsia="zh-CN" w:bidi="ar"/>
              </w:rPr>
            </w:pP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0F07B7E">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时效指标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3BBD03A2">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服务期限</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14:paraId="1F66E2CB">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14:paraId="1722F752">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417A4F0D">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年</w:t>
            </w:r>
          </w:p>
        </w:tc>
        <w:tc>
          <w:tcPr>
            <w:tcW w:w="1351" w:type="dxa"/>
            <w:gridSpan w:val="3"/>
            <w:tcBorders>
              <w:top w:val="single" w:color="000000" w:sz="4" w:space="0"/>
              <w:left w:val="single" w:color="000000" w:sz="4" w:space="0"/>
              <w:bottom w:val="single" w:color="000000" w:sz="4" w:space="0"/>
              <w:right w:val="single" w:color="000000" w:sz="4" w:space="0"/>
            </w:tcBorders>
            <w:noWrap w:val="0"/>
            <w:vAlign w:val="center"/>
          </w:tcPr>
          <w:p w14:paraId="268CB2C7">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428" w:type="dxa"/>
            <w:tcBorders>
              <w:top w:val="single" w:color="000000" w:sz="4" w:space="0"/>
              <w:left w:val="single" w:color="000000" w:sz="4" w:space="0"/>
              <w:bottom w:val="single" w:color="000000" w:sz="4" w:space="0"/>
              <w:right w:val="single" w:color="000000" w:sz="4" w:space="0"/>
            </w:tcBorders>
            <w:noWrap w:val="0"/>
            <w:vAlign w:val="center"/>
          </w:tcPr>
          <w:p w14:paraId="4F300483">
            <w:pPr>
              <w:widowControl/>
              <w:spacing w:line="300" w:lineRule="exact"/>
              <w:jc w:val="left"/>
              <w:textAlignment w:val="center"/>
              <w:rPr>
                <w:rFonts w:hint="eastAsia"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w:t>
            </w:r>
          </w:p>
        </w:tc>
      </w:tr>
      <w:tr w14:paraId="59DF6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776B31AA">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gridSpan w:val="2"/>
            <w:vMerge w:val="restart"/>
            <w:tcBorders>
              <w:top w:val="single" w:color="000000" w:sz="4" w:space="0"/>
              <w:left w:val="single" w:color="000000" w:sz="4" w:space="0"/>
              <w:bottom w:val="single" w:color="000000" w:sz="4" w:space="0"/>
              <w:right w:val="single" w:color="000000" w:sz="4" w:space="0"/>
            </w:tcBorders>
            <w:noWrap w:val="0"/>
            <w:vAlign w:val="center"/>
          </w:tcPr>
          <w:p w14:paraId="4C7A5D80">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default" w:ascii="宋体" w:hAnsi="宋体" w:eastAsia="宋体" w:cs="宋体"/>
                <w:color w:val="000000"/>
                <w:kern w:val="0"/>
                <w:sz w:val="24"/>
                <w:szCs w:val="24"/>
                <w:lang w:val="en-US" w:eastAsia="zh-CN" w:bidi="ar"/>
              </w:rPr>
              <w:t>效益指标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7A0704E2">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社会效益指标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59AB88DD">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确保垃圾焚烧厂处理物达标排放，不污染环境</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14:paraId="44F10E61">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定性</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14:paraId="0DD87334">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优</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0B36DA48">
            <w:pPr>
              <w:widowControl/>
              <w:spacing w:line="300" w:lineRule="exact"/>
              <w:jc w:val="left"/>
              <w:textAlignment w:val="center"/>
              <w:rPr>
                <w:rFonts w:hint="default" w:ascii="宋体" w:hAnsi="宋体" w:eastAsia="宋体" w:cs="宋体"/>
                <w:color w:val="000000"/>
                <w:kern w:val="0"/>
                <w:sz w:val="24"/>
                <w:szCs w:val="24"/>
                <w:lang w:eastAsia="zh-CN" w:bidi="ar"/>
              </w:rPr>
            </w:pPr>
          </w:p>
        </w:tc>
        <w:tc>
          <w:tcPr>
            <w:tcW w:w="1351" w:type="dxa"/>
            <w:gridSpan w:val="3"/>
            <w:tcBorders>
              <w:top w:val="single" w:color="000000" w:sz="4" w:space="0"/>
              <w:left w:val="single" w:color="000000" w:sz="4" w:space="0"/>
              <w:bottom w:val="single" w:color="000000" w:sz="4" w:space="0"/>
              <w:right w:val="single" w:color="000000" w:sz="4" w:space="0"/>
            </w:tcBorders>
            <w:noWrap w:val="0"/>
            <w:vAlign w:val="center"/>
          </w:tcPr>
          <w:p w14:paraId="5B762089">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8622DCB">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优</w:t>
            </w:r>
          </w:p>
        </w:tc>
      </w:tr>
      <w:tr w14:paraId="103A94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34CFDE8D">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gridSpan w:val="2"/>
            <w:vMerge w:val="continue"/>
            <w:tcBorders>
              <w:top w:val="single" w:color="000000" w:sz="4" w:space="0"/>
              <w:left w:val="single" w:color="000000" w:sz="4" w:space="0"/>
              <w:bottom w:val="single" w:color="000000" w:sz="4" w:space="0"/>
              <w:right w:val="single" w:color="000000" w:sz="4" w:space="0"/>
            </w:tcBorders>
            <w:noWrap w:val="0"/>
            <w:vAlign w:val="center"/>
          </w:tcPr>
          <w:p w14:paraId="128C4484">
            <w:pPr>
              <w:widowControl/>
              <w:spacing w:line="300" w:lineRule="exact"/>
              <w:jc w:val="left"/>
              <w:textAlignment w:val="center"/>
              <w:rPr>
                <w:rFonts w:hint="default" w:ascii="宋体" w:hAnsi="宋体" w:eastAsia="宋体" w:cs="宋体"/>
                <w:color w:val="000000"/>
                <w:kern w:val="0"/>
                <w:sz w:val="24"/>
                <w:szCs w:val="24"/>
                <w:lang w:eastAsia="zh-CN" w:bidi="ar"/>
              </w:rPr>
            </w:pPr>
          </w:p>
        </w:tc>
        <w:tc>
          <w:tcPr>
            <w:tcW w:w="1250" w:type="dxa"/>
            <w:tcBorders>
              <w:top w:val="single" w:color="000000" w:sz="4" w:space="0"/>
              <w:left w:val="single" w:color="000000" w:sz="4" w:space="0"/>
              <w:right w:val="single" w:color="000000" w:sz="4" w:space="0"/>
            </w:tcBorders>
            <w:noWrap w:val="0"/>
            <w:vAlign w:val="center"/>
          </w:tcPr>
          <w:p w14:paraId="54ADD38C">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可持续发展指标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7000A76D">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CEMS系统正常运转，实时监控垃圾无害化处理情况</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14:paraId="3EA61917">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定性</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14:paraId="0E01390A">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优</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5A996ADF">
            <w:pPr>
              <w:widowControl/>
              <w:spacing w:line="300" w:lineRule="exact"/>
              <w:jc w:val="left"/>
              <w:textAlignment w:val="center"/>
              <w:rPr>
                <w:rFonts w:hint="default" w:ascii="宋体" w:hAnsi="宋体" w:eastAsia="宋体" w:cs="宋体"/>
                <w:color w:val="000000"/>
                <w:kern w:val="0"/>
                <w:sz w:val="24"/>
                <w:szCs w:val="24"/>
                <w:lang w:eastAsia="zh-CN" w:bidi="ar"/>
              </w:rPr>
            </w:pPr>
          </w:p>
        </w:tc>
        <w:tc>
          <w:tcPr>
            <w:tcW w:w="1351" w:type="dxa"/>
            <w:gridSpan w:val="3"/>
            <w:tcBorders>
              <w:top w:val="single" w:color="000000" w:sz="4" w:space="0"/>
              <w:left w:val="single" w:color="000000" w:sz="4" w:space="0"/>
              <w:bottom w:val="single" w:color="000000" w:sz="4" w:space="0"/>
              <w:right w:val="single" w:color="000000" w:sz="4" w:space="0"/>
            </w:tcBorders>
            <w:noWrap w:val="0"/>
            <w:vAlign w:val="center"/>
          </w:tcPr>
          <w:p w14:paraId="422FDAD7">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428"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461CD177">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优</w:t>
            </w:r>
          </w:p>
        </w:tc>
      </w:tr>
      <w:tr w14:paraId="2D7111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4BD47FE7">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gridSpan w:val="2"/>
            <w:tcBorders>
              <w:top w:val="single" w:color="000000" w:sz="4" w:space="0"/>
              <w:left w:val="single" w:color="000000" w:sz="4" w:space="0"/>
              <w:right w:val="single" w:color="000000" w:sz="4" w:space="0"/>
            </w:tcBorders>
            <w:noWrap w:val="0"/>
            <w:vAlign w:val="center"/>
          </w:tcPr>
          <w:p w14:paraId="2D03753B">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default" w:ascii="宋体" w:hAnsi="宋体" w:eastAsia="宋体" w:cs="宋体"/>
                <w:color w:val="000000"/>
                <w:kern w:val="0"/>
                <w:sz w:val="24"/>
                <w:szCs w:val="24"/>
                <w:lang w:val="en-US" w:eastAsia="zh-CN" w:bidi="ar"/>
              </w:rPr>
              <w:t>满意度</w:t>
            </w:r>
          </w:p>
          <w:p w14:paraId="1C2BB6ED">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default" w:ascii="宋体" w:hAnsi="宋体" w:eastAsia="宋体" w:cs="宋体"/>
                <w:color w:val="000000"/>
                <w:kern w:val="0"/>
                <w:sz w:val="24"/>
                <w:szCs w:val="24"/>
                <w:lang w:val="en-US" w:eastAsia="zh-CN" w:bidi="ar"/>
              </w:rPr>
              <w:t>指标</w:t>
            </w:r>
          </w:p>
        </w:tc>
        <w:tc>
          <w:tcPr>
            <w:tcW w:w="1250" w:type="dxa"/>
            <w:tcBorders>
              <w:top w:val="single" w:color="000000" w:sz="4" w:space="0"/>
              <w:left w:val="single" w:color="000000" w:sz="4" w:space="0"/>
              <w:right w:val="single" w:color="000000" w:sz="4" w:space="0"/>
            </w:tcBorders>
            <w:noWrap w:val="0"/>
            <w:vAlign w:val="center"/>
          </w:tcPr>
          <w:p w14:paraId="654553F1">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满意度指标</w:t>
            </w:r>
          </w:p>
        </w:tc>
        <w:tc>
          <w:tcPr>
            <w:tcW w:w="1312" w:type="dxa"/>
            <w:tcBorders>
              <w:top w:val="single" w:color="000000" w:sz="4" w:space="0"/>
              <w:left w:val="single" w:color="000000" w:sz="4" w:space="0"/>
              <w:bottom w:val="single" w:color="000000" w:sz="4" w:space="0"/>
              <w:right w:val="single" w:color="000000" w:sz="4" w:space="0"/>
            </w:tcBorders>
            <w:noWrap w:val="0"/>
            <w:vAlign w:val="center"/>
          </w:tcPr>
          <w:p w14:paraId="1A82A618">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本单位对CEMS在线监测系统满意度</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14:paraId="175572A4">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14:paraId="23C11C90">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90</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09663F43">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w:t>
            </w:r>
          </w:p>
        </w:tc>
        <w:tc>
          <w:tcPr>
            <w:tcW w:w="1351" w:type="dxa"/>
            <w:gridSpan w:val="3"/>
            <w:tcBorders>
              <w:top w:val="single" w:color="000000" w:sz="4" w:space="0"/>
              <w:left w:val="single" w:color="000000" w:sz="4" w:space="0"/>
              <w:bottom w:val="single" w:color="000000" w:sz="4" w:space="0"/>
              <w:right w:val="single" w:color="000000" w:sz="4" w:space="0"/>
            </w:tcBorders>
            <w:noWrap w:val="0"/>
            <w:vAlign w:val="center"/>
          </w:tcPr>
          <w:p w14:paraId="54B992D2">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428" w:type="dxa"/>
            <w:tcBorders>
              <w:top w:val="single" w:color="000000" w:sz="4" w:space="0"/>
              <w:left w:val="single" w:color="000000" w:sz="4" w:space="0"/>
              <w:bottom w:val="single" w:color="000000" w:sz="4" w:space="0"/>
              <w:right w:val="single" w:color="000000" w:sz="4" w:space="0"/>
            </w:tcBorders>
            <w:noWrap w:val="0"/>
            <w:vAlign w:val="center"/>
          </w:tcPr>
          <w:p w14:paraId="10F40D4F">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90</w:t>
            </w:r>
          </w:p>
        </w:tc>
      </w:tr>
      <w:tr w14:paraId="37B4D5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2" w:type="dxa"/>
            <w:gridSpan w:val="2"/>
            <w:vMerge w:val="continue"/>
            <w:tcBorders>
              <w:top w:val="single" w:color="000000" w:sz="4" w:space="0"/>
              <w:left w:val="single" w:color="000000" w:sz="4" w:space="0"/>
              <w:bottom w:val="single" w:color="000000" w:sz="4" w:space="0"/>
            </w:tcBorders>
            <w:noWrap w:val="0"/>
            <w:vAlign w:val="center"/>
          </w:tcPr>
          <w:p w14:paraId="33E4FF79">
            <w:pPr>
              <w:keepNext w:val="0"/>
              <w:keepLines w:val="0"/>
              <w:pageBreakBefore w:val="0"/>
              <w:kinsoku/>
              <w:wordWrap/>
              <w:overflowPunct/>
              <w:topLinePunct w:val="0"/>
              <w:autoSpaceDE/>
              <w:autoSpaceDN/>
              <w:bidi w:val="0"/>
              <w:adjustRightInd/>
              <w:snapToGrid/>
              <w:spacing w:line="300" w:lineRule="exact"/>
              <w:ind w:left="0" w:leftChars="0"/>
              <w:jc w:val="center"/>
              <w:rPr>
                <w:rFonts w:hint="default" w:ascii="Times New Roman" w:hAnsi="Times New Roman" w:eastAsia="宋体" w:cs="Times New Roman"/>
                <w:i w:val="0"/>
                <w:color w:val="000000"/>
                <w:sz w:val="24"/>
                <w:szCs w:val="24"/>
                <w:u w:val="none"/>
              </w:rPr>
            </w:pPr>
          </w:p>
        </w:tc>
        <w:tc>
          <w:tcPr>
            <w:tcW w:w="1081" w:type="dxa"/>
            <w:gridSpan w:val="2"/>
            <w:tcBorders>
              <w:top w:val="single" w:color="000000" w:sz="4" w:space="0"/>
              <w:left w:val="single" w:color="000000" w:sz="4" w:space="0"/>
              <w:bottom w:val="single" w:color="000000" w:sz="4" w:space="0"/>
              <w:right w:val="single" w:color="000000" w:sz="4" w:space="0"/>
            </w:tcBorders>
            <w:noWrap w:val="0"/>
            <w:vAlign w:val="center"/>
          </w:tcPr>
          <w:p w14:paraId="7EBCDB1E">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default" w:ascii="宋体" w:hAnsi="宋体" w:eastAsia="宋体" w:cs="宋体"/>
                <w:color w:val="000000"/>
                <w:kern w:val="0"/>
                <w:sz w:val="24"/>
                <w:szCs w:val="24"/>
                <w:lang w:val="en-US" w:eastAsia="zh-CN" w:bidi="ar"/>
              </w:rPr>
              <w:t>成本指标</w:t>
            </w:r>
          </w:p>
        </w:tc>
        <w:tc>
          <w:tcPr>
            <w:tcW w:w="1250" w:type="dxa"/>
            <w:tcBorders>
              <w:top w:val="single" w:color="000000" w:sz="4" w:space="0"/>
              <w:left w:val="single" w:color="000000" w:sz="4" w:space="0"/>
              <w:bottom w:val="single" w:color="000000" w:sz="4" w:space="0"/>
              <w:right w:val="single" w:color="000000" w:sz="4" w:space="0"/>
            </w:tcBorders>
            <w:noWrap w:val="0"/>
            <w:vAlign w:val="center"/>
          </w:tcPr>
          <w:p w14:paraId="11EF27A8">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经济成本指标</w:t>
            </w:r>
          </w:p>
        </w:tc>
        <w:tc>
          <w:tcPr>
            <w:tcW w:w="1312" w:type="dxa"/>
            <w:tcBorders>
              <w:top w:val="single" w:color="000000" w:sz="4" w:space="0"/>
              <w:bottom w:val="single" w:color="000000" w:sz="4" w:space="0"/>
              <w:right w:val="single" w:color="000000" w:sz="4" w:space="0"/>
            </w:tcBorders>
            <w:noWrap w:val="0"/>
            <w:vAlign w:val="center"/>
          </w:tcPr>
          <w:p w14:paraId="5E5D3749">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每年垃圾无害化处理焚烧厂CEMS在线监测系统运行维护费用</w:t>
            </w:r>
          </w:p>
        </w:tc>
        <w:tc>
          <w:tcPr>
            <w:tcW w:w="1127" w:type="dxa"/>
            <w:gridSpan w:val="2"/>
            <w:tcBorders>
              <w:top w:val="single" w:color="000000" w:sz="4" w:space="0"/>
              <w:left w:val="single" w:color="000000" w:sz="4" w:space="0"/>
              <w:bottom w:val="single" w:color="000000" w:sz="4" w:space="0"/>
              <w:right w:val="single" w:color="000000" w:sz="4" w:space="0"/>
            </w:tcBorders>
            <w:noWrap w:val="0"/>
            <w:vAlign w:val="center"/>
          </w:tcPr>
          <w:p w14:paraId="606E17DF">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w:t>
            </w:r>
          </w:p>
        </w:tc>
        <w:tc>
          <w:tcPr>
            <w:tcW w:w="1520" w:type="dxa"/>
            <w:tcBorders>
              <w:top w:val="single" w:color="000000" w:sz="4" w:space="0"/>
              <w:left w:val="single" w:color="000000" w:sz="4" w:space="0"/>
              <w:bottom w:val="single" w:color="000000" w:sz="4" w:space="0"/>
              <w:right w:val="single" w:color="000000" w:sz="4" w:space="0"/>
            </w:tcBorders>
            <w:noWrap w:val="0"/>
            <w:vAlign w:val="center"/>
          </w:tcPr>
          <w:p w14:paraId="59767871">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18</w:t>
            </w:r>
          </w:p>
        </w:tc>
        <w:tc>
          <w:tcPr>
            <w:tcW w:w="512" w:type="dxa"/>
            <w:tcBorders>
              <w:top w:val="single" w:color="000000" w:sz="4" w:space="0"/>
              <w:left w:val="single" w:color="000000" w:sz="4" w:space="0"/>
              <w:bottom w:val="single" w:color="000000" w:sz="4" w:space="0"/>
              <w:right w:val="single" w:color="000000" w:sz="4" w:space="0"/>
            </w:tcBorders>
            <w:noWrap w:val="0"/>
            <w:vAlign w:val="center"/>
          </w:tcPr>
          <w:p w14:paraId="36AB46DA">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万元</w:t>
            </w:r>
          </w:p>
        </w:tc>
        <w:tc>
          <w:tcPr>
            <w:tcW w:w="1351" w:type="dxa"/>
            <w:gridSpan w:val="3"/>
            <w:tcBorders>
              <w:top w:val="single" w:color="000000" w:sz="4" w:space="0"/>
              <w:left w:val="single" w:color="000000" w:sz="4" w:space="0"/>
              <w:bottom w:val="single" w:color="000000" w:sz="4" w:space="0"/>
              <w:right w:val="single" w:color="000000" w:sz="4" w:space="0"/>
            </w:tcBorders>
            <w:noWrap w:val="0"/>
            <w:vAlign w:val="center"/>
          </w:tcPr>
          <w:p w14:paraId="3AA9CC96">
            <w:pPr>
              <w:widowControl/>
              <w:spacing w:line="300" w:lineRule="exact"/>
              <w:jc w:val="left"/>
              <w:textAlignment w:val="center"/>
              <w:rPr>
                <w:rFonts w:hint="default" w:ascii="宋体" w:hAnsi="宋体" w:eastAsia="宋体" w:cs="宋体"/>
                <w:color w:val="000000"/>
                <w:kern w:val="0"/>
                <w:sz w:val="24"/>
                <w:szCs w:val="24"/>
                <w:lang w:val="en-US" w:eastAsia="zh-CN" w:bidi="ar"/>
              </w:rPr>
            </w:pPr>
            <w:r>
              <w:rPr>
                <w:rFonts w:hint="eastAsia" w:ascii="宋体" w:hAnsi="宋体" w:eastAsia="宋体" w:cs="宋体"/>
                <w:color w:val="000000"/>
                <w:kern w:val="0"/>
                <w:sz w:val="24"/>
                <w:szCs w:val="24"/>
                <w:lang w:val="en-US" w:eastAsia="zh-CN" w:bidi="ar"/>
              </w:rPr>
              <w:t>10</w:t>
            </w:r>
          </w:p>
        </w:tc>
        <w:tc>
          <w:tcPr>
            <w:tcW w:w="1428" w:type="dxa"/>
            <w:tcBorders>
              <w:top w:val="single" w:color="000000" w:sz="4" w:space="0"/>
              <w:left w:val="single" w:color="000000" w:sz="4" w:space="0"/>
              <w:bottom w:val="single" w:color="000000" w:sz="4" w:space="0"/>
              <w:right w:val="single" w:color="000000" w:sz="4" w:space="0"/>
            </w:tcBorders>
            <w:noWrap w:val="0"/>
            <w:vAlign w:val="center"/>
          </w:tcPr>
          <w:p w14:paraId="2BC03281">
            <w:pPr>
              <w:widowControl/>
              <w:spacing w:line="300" w:lineRule="exact"/>
              <w:jc w:val="left"/>
              <w:textAlignment w:val="center"/>
              <w:rPr>
                <w:rFonts w:hint="default" w:ascii="宋体" w:hAnsi="宋体" w:eastAsia="宋体" w:cs="宋体"/>
                <w:color w:val="000000"/>
                <w:kern w:val="0"/>
                <w:sz w:val="24"/>
                <w:szCs w:val="24"/>
                <w:lang w:eastAsia="zh-CN" w:bidi="ar"/>
              </w:rPr>
            </w:pPr>
            <w:r>
              <w:rPr>
                <w:rFonts w:hint="eastAsia" w:ascii="宋体" w:hAnsi="宋体" w:eastAsia="宋体" w:cs="宋体"/>
                <w:color w:val="000000"/>
                <w:kern w:val="0"/>
                <w:sz w:val="24"/>
                <w:szCs w:val="24"/>
                <w:lang w:val="en-US" w:eastAsia="zh-CN" w:bidi="ar"/>
              </w:rPr>
              <w:t>18</w:t>
            </w:r>
          </w:p>
        </w:tc>
      </w:tr>
    </w:tbl>
    <w:p w14:paraId="2D0DDFCE">
      <w:pPr>
        <w:pStyle w:val="8"/>
        <w:keepNext w:val="0"/>
        <w:keepLines w:val="0"/>
        <w:pageBreakBefore w:val="0"/>
        <w:widowControl w:val="0"/>
        <w:kinsoku/>
        <w:wordWrap/>
        <w:overflowPunct/>
        <w:topLinePunct w:val="0"/>
        <w:autoSpaceDE/>
        <w:autoSpaceDN/>
        <w:bidi w:val="0"/>
        <w:adjustRightInd/>
        <w:snapToGrid/>
        <w:spacing w:after="0" w:line="20" w:lineRule="exact"/>
        <w:ind w:left="0" w:leftChars="0"/>
        <w:textAlignment w:val="auto"/>
        <w:rPr>
          <w:rFonts w:hint="default" w:ascii="Times New Roman" w:hAnsi="Times New Roman" w:eastAsia="黑体" w:cs="Times New Roman"/>
          <w:sz w:val="24"/>
          <w:szCs w:val="24"/>
          <w:highlight w:val="none"/>
          <w:lang w:val="en-US" w:eastAsia="zh-CN"/>
        </w:rPr>
      </w:pPr>
    </w:p>
    <w:p w14:paraId="4B946C75"/>
    <w:p w14:paraId="105AEBE1"/>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方正小标宋_GBK">
    <w:altName w:val="微软雅黑"/>
    <w:panose1 w:val="03000509000000000000"/>
    <w:charset w:val="86"/>
    <w:family w:val="auto"/>
    <w:pitch w:val="default"/>
    <w:sig w:usb0="00000000" w:usb1="00000000" w:usb2="00000000" w:usb3="00000000" w:csb0="00040000" w:csb1="00000000"/>
  </w:font>
  <w:font w:name="Wingdings 2">
    <w:altName w:val="Wingdings"/>
    <w:panose1 w:val="05020102010507070707"/>
    <w:charset w:val="02"/>
    <w:family w:val="auto"/>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84CE3B"/>
    <w:multiLevelType w:val="singleLevel"/>
    <w:tmpl w:val="8084CE3B"/>
    <w:lvl w:ilvl="0" w:tentative="0">
      <w:start w:val="2"/>
      <w:numFmt w:val="decimal"/>
      <w:lvlText w:val="%1."/>
      <w:lvlJc w:val="left"/>
      <w:pPr>
        <w:tabs>
          <w:tab w:val="left" w:pos="312"/>
        </w:tabs>
      </w:pPr>
    </w:lvl>
  </w:abstractNum>
  <w:abstractNum w:abstractNumId="1">
    <w:nsid w:val="1A14043E"/>
    <w:multiLevelType w:val="singleLevel"/>
    <w:tmpl w:val="1A14043E"/>
    <w:lvl w:ilvl="0" w:tentative="0">
      <w:start w:val="2"/>
      <w:numFmt w:val="decimal"/>
      <w:lvlText w:val="%1."/>
      <w:lvlJc w:val="left"/>
      <w:pPr>
        <w:tabs>
          <w:tab w:val="left" w:pos="312"/>
        </w:tabs>
      </w:pPr>
    </w:lvl>
  </w:abstractNum>
  <w:abstractNum w:abstractNumId="2">
    <w:nsid w:val="65CA7ABE"/>
    <w:multiLevelType w:val="singleLevel"/>
    <w:tmpl w:val="65CA7ABE"/>
    <w:lvl w:ilvl="0" w:tentative="0">
      <w:start w:val="2"/>
      <w:numFmt w:val="chineseCounting"/>
      <w:suff w:val="nothing"/>
      <w:lvlText w:val="（%1）"/>
      <w:lvlJc w:val="left"/>
      <w:rPr>
        <w:rFonts w:hint="eastAsi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0AE42BC9"/>
    <w:rsid w:val="100566B3"/>
    <w:rsid w:val="1B4A3EC4"/>
    <w:rsid w:val="2439349C"/>
    <w:rsid w:val="244E01D1"/>
    <w:rsid w:val="33DA011B"/>
    <w:rsid w:val="358B1B11"/>
    <w:rsid w:val="423607D0"/>
    <w:rsid w:val="4A0B0DD8"/>
    <w:rsid w:val="55704B34"/>
    <w:rsid w:val="57B166CC"/>
    <w:rsid w:val="5DBC40E7"/>
    <w:rsid w:val="62CB5140"/>
    <w:rsid w:val="779912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4"/>
    <w:qFormat/>
    <w:uiPriority w:val="9"/>
    <w:pPr>
      <w:keepNext/>
      <w:keepLines/>
      <w:spacing w:before="340" w:after="330" w:line="578" w:lineRule="auto"/>
      <w:outlineLvl w:val="0"/>
    </w:pPr>
    <w:rPr>
      <w:b/>
      <w:bCs/>
      <w:kern w:val="44"/>
      <w:sz w:val="44"/>
      <w:szCs w:val="44"/>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4">
    <w:name w:val="Body Text"/>
    <w:basedOn w:val="1"/>
    <w:next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Body Text Indent"/>
    <w:basedOn w:val="1"/>
    <w:qFormat/>
    <w:uiPriority w:val="0"/>
    <w:pPr>
      <w:spacing w:after="120"/>
      <w:ind w:leftChars="200"/>
    </w:pPr>
    <w:rPr>
      <w:rFonts w:ascii="仿宋_GB2312"/>
      <w:szCs w:val="32"/>
    </w:rPr>
  </w:style>
  <w:style w:type="paragraph" w:styleId="6">
    <w:name w:val="footer"/>
    <w:basedOn w:val="1"/>
    <w:link w:val="13"/>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7">
    <w:name w:val="header"/>
    <w:basedOn w:val="1"/>
    <w:link w:val="12"/>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8">
    <w:name w:val="Body Text First Indent 2"/>
    <w:basedOn w:val="5"/>
    <w:unhideWhenUsed/>
    <w:qFormat/>
    <w:uiPriority w:val="99"/>
    <w:pPr>
      <w:ind w:firstLine="420" w:firstLineChars="200"/>
    </w:p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2">
    <w:name w:val="页眉 Char"/>
    <w:basedOn w:val="11"/>
    <w:link w:val="7"/>
    <w:semiHidden/>
    <w:qFormat/>
    <w:uiPriority w:val="99"/>
    <w:rPr>
      <w:sz w:val="18"/>
      <w:szCs w:val="18"/>
    </w:rPr>
  </w:style>
  <w:style w:type="character" w:customStyle="1" w:styleId="13">
    <w:name w:val="页脚 Char"/>
    <w:basedOn w:val="11"/>
    <w:link w:val="6"/>
    <w:semiHidden/>
    <w:qFormat/>
    <w:uiPriority w:val="99"/>
    <w:rPr>
      <w:sz w:val="18"/>
      <w:szCs w:val="18"/>
    </w:rPr>
  </w:style>
  <w:style w:type="character" w:customStyle="1" w:styleId="14">
    <w:name w:val="标题 1 Char"/>
    <w:basedOn w:val="11"/>
    <w:link w:val="3"/>
    <w:qFormat/>
    <w:uiPriority w:val="9"/>
    <w:rPr>
      <w:rFonts w:ascii="Times New Roman" w:hAnsi="Times New Roman" w:eastAsia="宋体"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13</Pages>
  <Words>5843</Words>
  <Characters>5978</Characters>
  <Lines>2</Lines>
  <Paragraphs>1</Paragraphs>
  <TotalTime>2</TotalTime>
  <ScaleCrop>false</ScaleCrop>
  <LinksUpToDate>false</LinksUpToDate>
  <CharactersWithSpaces>6009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WPS_1604458475</cp:lastModifiedBy>
  <dcterms:modified xsi:type="dcterms:W3CDTF">2025-08-29T03:11:56Z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CD14128851FF4C64A5534974F19A36DC</vt:lpwstr>
  </property>
  <property fmtid="{D5CDD505-2E9C-101B-9397-08002B2CF9AE}" pid="4" name="KSOTemplateDocerSaveRecord">
    <vt:lpwstr>eyJoZGlkIjoiYmMxZWViYzY2OTBkMWNmMDZlNjI2NmUwYzQyZTk2ZTMiLCJ1c2VySWQiOiIxMTM5OTQ5NTAyIn0=</vt:lpwstr>
  </property>
</Properties>
</file>