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72CA3F">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rPr>
        <w:t>城市管理局城管监察大队</w:t>
      </w:r>
    </w:p>
    <w:p w14:paraId="479E7FF2">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年部门整体支出绩效评价报告</w:t>
      </w:r>
      <w:bookmarkEnd w:id="0"/>
    </w:p>
    <w:p w14:paraId="79520B12">
      <w:pPr>
        <w:spacing w:line="580" w:lineRule="exact"/>
        <w:ind w:firstLine="643" w:firstLineChars="200"/>
        <w:rPr>
          <w:rFonts w:ascii="仿宋_GB2312" w:hAnsi="黑体" w:eastAsia="仿宋_GB2312" w:cs="黑体"/>
          <w:b/>
          <w:sz w:val="32"/>
          <w:szCs w:val="32"/>
        </w:rPr>
      </w:pPr>
    </w:p>
    <w:p w14:paraId="1244A433">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14C90266">
      <w:pPr>
        <w:ind w:firstLine="320" w:firstLineChars="100"/>
        <w:rPr>
          <w:rFonts w:hint="eastAsia" w:ascii="仿宋" w:hAnsi="仿宋" w:eastAsia="仿宋" w:cs="仿宋"/>
          <w:sz w:val="32"/>
          <w:szCs w:val="32"/>
        </w:rPr>
      </w:pPr>
      <w:r>
        <w:rPr>
          <w:rFonts w:hint="eastAsia" w:ascii="仿宋" w:hAnsi="仿宋" w:eastAsia="仿宋" w:cs="仿宋"/>
          <w:sz w:val="32"/>
          <w:szCs w:val="32"/>
        </w:rPr>
        <w:t>(一)机构组成。</w:t>
      </w:r>
    </w:p>
    <w:p w14:paraId="06EA925F">
      <w:pPr>
        <w:ind w:firstLine="320" w:firstLineChars="1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城市管理局</w:t>
      </w:r>
      <w:r>
        <w:rPr>
          <w:rFonts w:hint="eastAsia" w:ascii="仿宋" w:hAnsi="仿宋" w:eastAsia="仿宋" w:cs="仿宋"/>
          <w:sz w:val="32"/>
          <w:szCs w:val="32"/>
        </w:rPr>
        <w:t>城管监察大队</w:t>
      </w:r>
      <w:r>
        <w:rPr>
          <w:rFonts w:hint="eastAsia" w:ascii="仿宋" w:hAnsi="仿宋" w:eastAsia="仿宋" w:cs="仿宋"/>
          <w:sz w:val="32"/>
          <w:szCs w:val="32"/>
          <w:lang w:val="en-US" w:eastAsia="zh-CN"/>
        </w:rPr>
        <w:t>成立于2009年，内设办公室、城市监察股、环境卫生管理股、市政园林管理股4个职能股室，下辖城管监察大队、垃圾清管所2个直属事业机构。</w:t>
      </w:r>
    </w:p>
    <w:p w14:paraId="6CF5A6D9">
      <w:pPr>
        <w:ind w:firstLine="320" w:firstLineChars="100"/>
        <w:rPr>
          <w:rFonts w:hint="eastAsia" w:ascii="仿宋" w:hAnsi="仿宋" w:eastAsia="仿宋" w:cs="仿宋"/>
          <w:sz w:val="32"/>
          <w:szCs w:val="32"/>
          <w:lang w:val="zh-CN"/>
        </w:rPr>
      </w:pPr>
      <w:r>
        <w:rPr>
          <w:rFonts w:hint="eastAsia" w:ascii="仿宋" w:hAnsi="仿宋" w:eastAsia="仿宋" w:cs="仿宋"/>
          <w:sz w:val="32"/>
          <w:szCs w:val="32"/>
          <w:lang w:val="zh-CN"/>
        </w:rPr>
        <w:t>（二）机构职能。</w:t>
      </w:r>
    </w:p>
    <w:p w14:paraId="7C5B716D">
      <w:pPr>
        <w:numPr>
          <w:ilvl w:val="0"/>
          <w:numId w:val="0"/>
        </w:numPr>
        <w:ind w:left="320" w:leftChars="0"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城管监察大队1、负责城市市政工程设施方面监察。依据《城市道路管理条例》、《城市道路照明设施管理规定》及有关法律、法规和规章，对占用、挖掘城市道路、损坏城市道路、桥涵、排水设施、照明设施、防洪堤坝等方面违法、违章行为进行监察;2、负责城市公用事业方面监察。依据《城市供水条例》及有关法律、法规和规章，对危害、损坏城市供水、供气、公共交通设施的违法、违章行为和对城市客运交通营运、供气安全、城市规划区地下水资源的开发、利用、保护以及城市节约用水等方面的违法、违章行为进行监察;3、负责城市市容环境卫生方面监察。依据《城市市容和环境卫生管理条例》及有关法律、法规和规章，对损坏环境卫生设施、影响城市市容环境卫生等方面的违法、违章行为进行监察;4、负责园林绿化和景观方面监察。依据《城市绿化条例》及有关法律、法规和规章，对损坏城市绿地、花草、树木、园林绿化设施、雕塑、文化墙、喷泉及乱砍树木等方面的违法、违章行为进行监察。负责督促“门前六包”;负责城区报亭、户外广告、停车场、临时摊点的管理;负责监察、拆除乱搭建、乱堆放及违章建筑物、构筑物;负责对城区建筑垃圾、工业垃圾、医疗垃圾等有害废弃物的监管。</w:t>
      </w:r>
    </w:p>
    <w:p w14:paraId="1C5853B3">
      <w:pPr>
        <w:pStyle w:val="4"/>
        <w:keepNext w:val="0"/>
        <w:keepLines w:val="0"/>
        <w:pageBreakBefore w:val="0"/>
        <w:widowControl/>
        <w:kinsoku/>
        <w:wordWrap/>
        <w:overflowPunct/>
        <w:topLinePunct w:val="0"/>
        <w:autoSpaceDE/>
        <w:autoSpaceDN/>
        <w:bidi w:val="0"/>
        <w:adjustRightInd/>
        <w:snapToGrid/>
        <w:spacing w:before="60" w:beforeAutospacing="0" w:after="0" w:afterAutospacing="0" w:line="360" w:lineRule="auto"/>
        <w:ind w:firstLine="640" w:firstLineChars="200"/>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（三）人员概况</w:t>
      </w:r>
    </w:p>
    <w:p w14:paraId="2DD5C509">
      <w:pPr>
        <w:pStyle w:val="4"/>
        <w:keepNext w:val="0"/>
        <w:keepLines w:val="0"/>
        <w:pageBreakBefore w:val="0"/>
        <w:widowControl/>
        <w:kinsoku/>
        <w:wordWrap/>
        <w:overflowPunct/>
        <w:topLinePunct w:val="0"/>
        <w:autoSpaceDE/>
        <w:autoSpaceDN/>
        <w:bidi w:val="0"/>
        <w:adjustRightInd/>
        <w:snapToGrid/>
        <w:spacing w:before="60" w:beforeAutospacing="0" w:after="0" w:afterAutospacing="0" w:line="36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总编制8名,其中:参照公务员法管理的事业编制8名，在职人员总数8名。</w:t>
      </w:r>
    </w:p>
    <w:p w14:paraId="40789E69">
      <w:pPr>
        <w:spacing w:line="580" w:lineRule="exac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二、部门财政资金收支情况</w:t>
      </w:r>
    </w:p>
    <w:p w14:paraId="2E889405">
      <w:pPr>
        <w:spacing w:line="580" w:lineRule="exact"/>
        <w:ind w:firstLine="640" w:firstLineChars="20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（一）部门财政资金收入情况。</w:t>
      </w:r>
    </w:p>
    <w:p w14:paraId="4C8E2583">
      <w:pPr>
        <w:pStyle w:val="4"/>
        <w:keepNext w:val="0"/>
        <w:keepLines w:val="0"/>
        <w:pageBreakBefore w:val="0"/>
        <w:widowControl/>
        <w:kinsoku/>
        <w:wordWrap/>
        <w:overflowPunct/>
        <w:topLinePunct w:val="0"/>
        <w:autoSpaceDE/>
        <w:autoSpaceDN/>
        <w:bidi w:val="0"/>
        <w:adjustRightInd/>
        <w:snapToGrid/>
        <w:spacing w:before="180" w:beforeAutospacing="0" w:after="0" w:afterAutospacing="0" w:line="36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按照综合预算的原则，城管监察大队所有收入纳入部门预算管理。收入包括：一般公共预算拨款收入141.11万元，事业收入0万元，其他收入0万元，上年结转0万元。</w:t>
      </w:r>
    </w:p>
    <w:p w14:paraId="117E5F1A">
      <w:pPr>
        <w:numPr>
          <w:ilvl w:val="0"/>
          <w:numId w:val="1"/>
        </w:numPr>
        <w:ind w:firstLine="320" w:firstLineChars="100"/>
        <w:rPr>
          <w:rFonts w:hint="eastAsia" w:ascii="仿宋" w:hAnsi="仿宋" w:eastAsia="仿宋" w:cs="仿宋"/>
          <w:sz w:val="32"/>
          <w:szCs w:val="32"/>
        </w:rPr>
      </w:pPr>
      <w:r>
        <w:rPr>
          <w:rFonts w:hint="eastAsia" w:ascii="仿宋" w:hAnsi="仿宋" w:eastAsia="仿宋" w:cs="仿宋"/>
          <w:sz w:val="32"/>
          <w:szCs w:val="32"/>
        </w:rPr>
        <w:t>部门财政资金支出情况。</w:t>
      </w:r>
    </w:p>
    <w:p w14:paraId="49639C07">
      <w:pPr>
        <w:spacing w:line="58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按照综合预算的原则，城管监察大队所有支出纳入部门预算管理。支出</w:t>
      </w:r>
      <w:r>
        <w:rPr>
          <w:rFonts w:hint="eastAsia" w:ascii="仿宋_GB2312" w:hAnsi="仿宋_GB2312" w:eastAsia="仿宋_GB2312" w:cs="仿宋_GB2312"/>
          <w:color w:val="000000"/>
          <w:sz w:val="32"/>
          <w:szCs w:val="32"/>
          <w:lang w:val="en-US" w:eastAsia="zh-CN"/>
        </w:rPr>
        <w:t>141.11万元，其中包括：社会保障和就业支出为19.76万元，占比14.00%；卫生健康支出为7.85万元，占比5.56%；城乡社区支出为102.38万元，占比72.55%；住房保障支出为11.12万元，占比7.88%。</w:t>
      </w:r>
    </w:p>
    <w:p w14:paraId="5C03996D">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14:paraId="7D6CC6C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（一）部门预算管理。</w:t>
      </w:r>
    </w:p>
    <w:p w14:paraId="75F9CE2F">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zh-CN" w:eastAsia="zh-CN"/>
        </w:rPr>
        <w:t>严格按照县级部门预算编制通知和有关要求，按时完成基础库、项目库报送工作，按时完成20</w:t>
      </w:r>
      <w:r>
        <w:rPr>
          <w:rFonts w:hint="eastAsia" w:ascii="仿宋" w:hAnsi="仿宋" w:eastAsia="仿宋" w:cs="仿宋"/>
          <w:kern w:val="0"/>
          <w:sz w:val="32"/>
          <w:szCs w:val="32"/>
          <w:lang w:val="en-US" w:eastAsia="zh-CN"/>
        </w:rPr>
        <w:t>24</w:t>
      </w:r>
      <w:r>
        <w:rPr>
          <w:rFonts w:hint="eastAsia" w:ascii="仿宋" w:hAnsi="仿宋" w:eastAsia="仿宋" w:cs="仿宋"/>
          <w:kern w:val="0"/>
          <w:sz w:val="32"/>
          <w:szCs w:val="32"/>
          <w:lang w:val="zh-CN" w:eastAsia="zh-CN"/>
        </w:rPr>
        <w:t>年预算编制工作，并按时提交部门预算草案。按规定编制政府采购预算，预算编制全面、科学。</w:t>
      </w:r>
      <w:r>
        <w:rPr>
          <w:rFonts w:hint="eastAsia" w:ascii="仿宋" w:hAnsi="仿宋" w:eastAsia="仿宋" w:cs="仿宋"/>
          <w:kern w:val="0"/>
          <w:sz w:val="32"/>
          <w:szCs w:val="32"/>
          <w:lang w:val="en-US" w:eastAsia="zh-CN"/>
        </w:rPr>
        <w:t>预算编制中，特别注意对预算编制准确性的把握，并严格按照要求进行预算执行调整。按时完成待批复提前细化。部门预算在财政部门批复后及时填报预算公示报表报财政审核在政府信息公开网上公示。</w:t>
      </w:r>
    </w:p>
    <w:p w14:paraId="159A38D1">
      <w:pPr>
        <w:spacing w:line="580" w:lineRule="exact"/>
        <w:ind w:firstLine="320" w:firstLineChars="100"/>
        <w:rPr>
          <w:rFonts w:hint="eastAsia" w:ascii="仿宋" w:hAnsi="仿宋" w:eastAsia="仿宋" w:cs="仿宋"/>
          <w:sz w:val="32"/>
          <w:szCs w:val="32"/>
        </w:rPr>
      </w:pPr>
      <w:r>
        <w:rPr>
          <w:rFonts w:hint="eastAsia" w:ascii="仿宋" w:hAnsi="仿宋" w:eastAsia="仿宋" w:cs="仿宋"/>
          <w:sz w:val="32"/>
          <w:szCs w:val="32"/>
        </w:rPr>
        <w:t>（二）专项预算管理。</w:t>
      </w:r>
    </w:p>
    <w:p w14:paraId="462A9D23">
      <w:pPr>
        <w:snapToGrid w:val="0"/>
        <w:spacing w:line="360" w:lineRule="auto"/>
        <w:ind w:firstLine="640" w:firstLineChars="200"/>
        <w:rPr>
          <w:rFonts w:hint="eastAsia" w:ascii="仿宋" w:hAnsi="仿宋" w:eastAsia="仿宋" w:cs="仿宋"/>
          <w:color w:val="000000"/>
          <w:sz w:val="32"/>
          <w:szCs w:val="32"/>
        </w:rPr>
      </w:pPr>
      <w:r>
        <w:rPr>
          <w:rFonts w:hint="eastAsia" w:ascii="仿宋" w:hAnsi="仿宋" w:eastAsia="仿宋" w:cs="仿宋"/>
          <w:kern w:val="0"/>
          <w:sz w:val="32"/>
          <w:szCs w:val="32"/>
          <w:lang w:val="en-US" w:eastAsia="zh-CN"/>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14:paraId="7E664F9E">
      <w:pPr>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三</w:t>
      </w:r>
      <w:r>
        <w:rPr>
          <w:rFonts w:hint="eastAsia" w:ascii="仿宋" w:hAnsi="仿宋" w:eastAsia="仿宋" w:cs="仿宋"/>
          <w:sz w:val="32"/>
          <w:szCs w:val="32"/>
        </w:rPr>
        <w:t>) 结果应用情况。</w:t>
      </w:r>
    </w:p>
    <w:p w14:paraId="44C9B6D5">
      <w:pPr>
        <w:snapToGrid w:val="0"/>
        <w:spacing w:line="360" w:lineRule="auto"/>
        <w:ind w:firstLine="640" w:firstLineChars="200"/>
        <w:rPr>
          <w:rFonts w:hint="eastAsia" w:ascii="仿宋" w:hAnsi="仿宋" w:eastAsia="仿宋" w:cs="仿宋"/>
          <w:kern w:val="0"/>
          <w:sz w:val="32"/>
          <w:szCs w:val="32"/>
          <w:lang w:val="zh-CN" w:eastAsia="zh-CN"/>
        </w:rPr>
      </w:pPr>
      <w:r>
        <w:rPr>
          <w:rFonts w:hint="eastAsia" w:ascii="仿宋" w:hAnsi="仿宋" w:eastAsia="仿宋" w:cs="仿宋"/>
          <w:kern w:val="0"/>
          <w:sz w:val="32"/>
          <w:szCs w:val="32"/>
          <w:lang w:val="zh-CN" w:eastAsia="zh-CN"/>
        </w:rPr>
        <w:t>我</w:t>
      </w:r>
      <w:r>
        <w:rPr>
          <w:rFonts w:hint="eastAsia" w:ascii="仿宋" w:hAnsi="仿宋" w:eastAsia="仿宋" w:cs="仿宋"/>
          <w:kern w:val="0"/>
          <w:sz w:val="32"/>
          <w:szCs w:val="32"/>
          <w:lang w:val="en-US" w:eastAsia="zh-CN"/>
        </w:rPr>
        <w:t>局</w:t>
      </w:r>
      <w:r>
        <w:rPr>
          <w:rFonts w:hint="eastAsia" w:ascii="仿宋" w:hAnsi="仿宋" w:eastAsia="仿宋" w:cs="仿宋"/>
          <w:kern w:val="0"/>
          <w:sz w:val="32"/>
          <w:szCs w:val="32"/>
          <w:lang w:val="zh-CN" w:eastAsia="zh-CN"/>
        </w:rPr>
        <w:t>严格按照县财政局</w:t>
      </w:r>
      <w:bookmarkStart w:id="1" w:name="_GoBack"/>
      <w:bookmarkEnd w:id="1"/>
      <w:r>
        <w:rPr>
          <w:rFonts w:hint="eastAsia" w:ascii="仿宋" w:hAnsi="仿宋" w:eastAsia="仿宋" w:cs="仿宋"/>
          <w:kern w:val="0"/>
          <w:sz w:val="32"/>
          <w:szCs w:val="32"/>
          <w:lang w:val="zh-CN" w:eastAsia="zh-CN"/>
        </w:rPr>
        <w:t>通知要求公开预算、决算、部门整体绩效；严格按照县财政局要求对部门整体全面进行绩效评价，并及时上报财政；严格按照县财政局文件要求及时进行自查，并上报材料，未发现违纪违规问题。根据部门职能职责，认真完成县委县政府安排的各项专项工作任务及其他年度重点工作任务。</w:t>
      </w:r>
    </w:p>
    <w:p w14:paraId="572D171D">
      <w:pPr>
        <w:snapToGrid w:val="0"/>
        <w:spacing w:line="360" w:lineRule="auto"/>
        <w:ind w:firstLine="640" w:firstLineChars="200"/>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本年本单位在执行公务过程中严格执行“厉行节约、反对浪费”的规定，严格控制“三公”经费支出，加强公务用车管理，努力降低维修费用。</w:t>
      </w:r>
    </w:p>
    <w:p w14:paraId="7650D950">
      <w:pPr>
        <w:snapToGrid w:val="0"/>
        <w:spacing w:line="360" w:lineRule="auto"/>
        <w:ind w:firstLine="640" w:firstLineChars="200"/>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部门预算决算在财政部门批复后及时填报预算公开资料、决算公开资料报表报财政审核后在政府信息公开网上公示。</w:t>
      </w:r>
    </w:p>
    <w:p w14:paraId="41DF627A">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4919C912">
      <w:pPr>
        <w:numPr>
          <w:ilvl w:val="0"/>
          <w:numId w:val="2"/>
        </w:numPr>
        <w:rPr>
          <w:rFonts w:hint="eastAsia" w:ascii="仿宋" w:hAnsi="仿宋" w:eastAsia="仿宋" w:cs="仿宋"/>
          <w:sz w:val="32"/>
          <w:szCs w:val="32"/>
        </w:rPr>
      </w:pPr>
      <w:r>
        <w:rPr>
          <w:rFonts w:hint="eastAsia" w:ascii="仿宋" w:hAnsi="仿宋" w:eastAsia="仿宋" w:cs="仿宋"/>
          <w:sz w:val="32"/>
          <w:szCs w:val="32"/>
        </w:rPr>
        <w:t>评价结论。</w:t>
      </w:r>
    </w:p>
    <w:p w14:paraId="4C8D3E10">
      <w:pPr>
        <w:snapToGrid w:val="0"/>
        <w:spacing w:line="360" w:lineRule="auto"/>
        <w:ind w:firstLine="640" w:firstLineChars="200"/>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按照国家政策法规规定，结合本部门的实际情况，建立健全了财务管理制度和约束机制，依法、有效地使用财政资金，提高财政资金使用效率，合理分配人、财、物，完成了部门职能目标，实现了较高的工作效率和支出绩效。</w:t>
      </w:r>
    </w:p>
    <w:p w14:paraId="3FDAA56C">
      <w:pPr>
        <w:snapToGrid w:val="0"/>
        <w:spacing w:line="360" w:lineRule="auto"/>
        <w:ind w:firstLine="640" w:firstLineChars="200"/>
        <w:rPr>
          <w:rFonts w:hint="eastAsia" w:ascii="仿宋" w:hAnsi="仿宋" w:eastAsia="仿宋" w:cs="仿宋"/>
          <w:kern w:val="0"/>
          <w:sz w:val="32"/>
          <w:szCs w:val="32"/>
          <w:lang w:val="zh-CN" w:eastAsia="zh-CN"/>
        </w:rPr>
      </w:pPr>
      <w:r>
        <w:rPr>
          <w:rFonts w:hint="eastAsia" w:ascii="仿宋" w:hAnsi="仿宋" w:eastAsia="仿宋" w:cs="仿宋"/>
          <w:kern w:val="0"/>
          <w:sz w:val="32"/>
          <w:szCs w:val="32"/>
          <w:lang w:val="en-US" w:eastAsia="zh-CN"/>
        </w:rPr>
        <w:t>预算支出在保障本单位工作运转、履行职能职责上整体情况良好。具体有：2024年度支出绩效较好，预算编制比较精确、合理;为认真落实中央八项规定等厉行节约，反对浪费规定要求，压缩了部分培训费及一般性支出;动态优化了年度预算安排，保障了在经费压缩情况下的高效运转;各项目经费的支出有力保障了办公设备购置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w:t>
      </w:r>
    </w:p>
    <w:p w14:paraId="5EABD469">
      <w:pPr>
        <w:numPr>
          <w:ilvl w:val="0"/>
          <w:numId w:val="2"/>
        </w:numPr>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存在问题。</w:t>
      </w:r>
    </w:p>
    <w:p w14:paraId="58A2C8FB">
      <w:pPr>
        <w:snapToGrid w:val="0"/>
        <w:spacing w:line="360" w:lineRule="auto"/>
        <w:ind w:firstLine="640" w:firstLineChars="200"/>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制度、方法、机制、等创新力度不够。</w:t>
      </w:r>
    </w:p>
    <w:p w14:paraId="5973CEDE">
      <w:pPr>
        <w:numPr>
          <w:ilvl w:val="0"/>
          <w:numId w:val="2"/>
        </w:numPr>
        <w:ind w:left="0" w:leftChars="0" w:firstLine="0" w:firstLineChars="0"/>
        <w:rPr>
          <w:rFonts w:hint="eastAsia" w:ascii="仿宋" w:hAnsi="仿宋" w:eastAsia="仿宋" w:cs="仿宋"/>
          <w:sz w:val="32"/>
          <w:szCs w:val="32"/>
        </w:rPr>
      </w:pPr>
      <w:r>
        <w:rPr>
          <w:rFonts w:hint="eastAsia" w:ascii="仿宋" w:hAnsi="仿宋" w:eastAsia="仿宋" w:cs="仿宋"/>
          <w:sz w:val="32"/>
          <w:szCs w:val="32"/>
        </w:rPr>
        <w:t>改进建议。</w:t>
      </w:r>
    </w:p>
    <w:p w14:paraId="105263D3">
      <w:pPr>
        <w:numPr>
          <w:ilvl w:val="0"/>
          <w:numId w:val="0"/>
        </w:numPr>
        <w:spacing w:line="560" w:lineRule="exact"/>
        <w:rPr>
          <w:rFonts w:hint="eastAsia" w:ascii="仿宋" w:hAnsi="仿宋" w:eastAsia="仿宋" w:cs="仿宋"/>
          <w:kern w:val="0"/>
          <w:sz w:val="32"/>
          <w:szCs w:val="32"/>
          <w:lang w:val="zh-CN" w:eastAsia="zh-CN" w:bidi="ar-SA"/>
        </w:rPr>
      </w:pPr>
      <w:r>
        <w:rPr>
          <w:rFonts w:hint="eastAsia" w:ascii="仿宋" w:hAnsi="仿宋" w:eastAsia="仿宋" w:cs="仿宋"/>
          <w:kern w:val="0"/>
          <w:sz w:val="32"/>
          <w:szCs w:val="32"/>
          <w:lang w:val="en-US" w:eastAsia="zh-CN" w:bidi="ar-SA"/>
        </w:rPr>
        <w:t>1.</w:t>
      </w:r>
      <w:r>
        <w:rPr>
          <w:rFonts w:hint="eastAsia" w:ascii="仿宋" w:hAnsi="仿宋" w:eastAsia="仿宋" w:cs="仿宋"/>
          <w:kern w:val="0"/>
          <w:sz w:val="32"/>
          <w:szCs w:val="32"/>
          <w:lang w:val="zh-CN" w:eastAsia="zh-CN" w:bidi="ar-SA"/>
        </w:rPr>
        <w:t>加强管</w:t>
      </w:r>
      <w:r>
        <w:rPr>
          <w:rFonts w:hint="eastAsia" w:ascii="仿宋" w:hAnsi="仿宋" w:eastAsia="仿宋" w:cs="仿宋"/>
          <w:kern w:val="0"/>
          <w:sz w:val="32"/>
          <w:szCs w:val="32"/>
          <w:lang w:val="zh-CN" w:eastAsia="zh-CN" w:bidi="ar-SA"/>
        </w:rPr>
        <w:t>理，完善制度，提高绩效管理履职效能。</w:t>
      </w:r>
    </w:p>
    <w:p w14:paraId="605C8D20">
      <w:pPr>
        <w:numPr>
          <w:ilvl w:val="0"/>
          <w:numId w:val="0"/>
        </w:numPr>
        <w:spacing w:line="560" w:lineRule="exact"/>
        <w:rPr>
          <w:rFonts w:hint="eastAsia" w:ascii="仿宋" w:hAnsi="仿宋" w:eastAsia="仿宋" w:cs="仿宋"/>
          <w:kern w:val="0"/>
          <w:sz w:val="32"/>
          <w:szCs w:val="32"/>
          <w:lang w:val="zh-CN" w:eastAsia="zh-CN" w:bidi="ar-SA"/>
        </w:rPr>
      </w:pPr>
      <w:r>
        <w:rPr>
          <w:rFonts w:hint="eastAsia" w:ascii="仿宋" w:hAnsi="仿宋" w:eastAsia="仿宋" w:cs="仿宋"/>
          <w:kern w:val="0"/>
          <w:sz w:val="32"/>
          <w:szCs w:val="32"/>
          <w:lang w:val="en-US" w:eastAsia="zh-CN" w:bidi="ar-SA"/>
        </w:rPr>
        <w:t>2.</w:t>
      </w:r>
      <w:r>
        <w:rPr>
          <w:rFonts w:hint="eastAsia" w:ascii="仿宋" w:hAnsi="仿宋" w:eastAsia="仿宋" w:cs="仿宋"/>
          <w:kern w:val="0"/>
          <w:sz w:val="32"/>
          <w:szCs w:val="32"/>
          <w:lang w:val="zh-CN" w:eastAsia="zh-CN" w:bidi="ar-SA"/>
        </w:rPr>
        <w:t>改进工作方式，明确预算目标任务，高效、高质量完成工作任务。</w:t>
      </w:r>
    </w:p>
    <w:p w14:paraId="4FFFA5E0">
      <w:pPr>
        <w:numPr>
          <w:ilvl w:val="0"/>
          <w:numId w:val="0"/>
        </w:numPr>
        <w:spacing w:line="560" w:lineRule="exact"/>
        <w:rPr>
          <w:rFonts w:hint="eastAsia" w:ascii="仿宋_GB2312" w:hAnsi="宋体" w:eastAsia="宋体" w:cs="宋体"/>
          <w:color w:val="000000"/>
          <w:kern w:val="0"/>
          <w:lang w:val="en-US" w:eastAsia="zh-CN"/>
        </w:rPr>
      </w:pPr>
      <w:r>
        <w:rPr>
          <w:rFonts w:hint="eastAsia" w:ascii="仿宋" w:hAnsi="仿宋" w:eastAsia="仿宋" w:cs="仿宋"/>
          <w:color w:val="000000"/>
          <w:kern w:val="0"/>
          <w:sz w:val="32"/>
          <w:szCs w:val="32"/>
          <w:lang w:val="en-US" w:eastAsia="zh-CN"/>
        </w:rPr>
        <w:t>3.</w:t>
      </w:r>
      <w:r>
        <w:rPr>
          <w:rFonts w:hint="eastAsia" w:ascii="仿宋" w:hAnsi="仿宋" w:eastAsia="仿宋" w:cs="仿宋"/>
          <w:kern w:val="0"/>
          <w:sz w:val="32"/>
          <w:szCs w:val="32"/>
          <w:lang w:val="en-US" w:eastAsia="zh-CN" w:bidi="ar-SA"/>
        </w:rPr>
        <w:t>提高预算编制的精确度，提高财政资金使用效率，尽量减少预算执行调整、结转和结余注销的情形。</w:t>
      </w:r>
    </w:p>
    <w:p w14:paraId="2FDC3644"/>
    <w:p w14:paraId="2F98BAAD">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C47C01"/>
    <w:multiLevelType w:val="singleLevel"/>
    <w:tmpl w:val="BEC47C01"/>
    <w:lvl w:ilvl="0" w:tentative="0">
      <w:start w:val="2"/>
      <w:numFmt w:val="chineseCounting"/>
      <w:suff w:val="space"/>
      <w:lvlText w:val="(%1)"/>
      <w:lvlJc w:val="left"/>
      <w:rPr>
        <w:rFonts w:hint="eastAsia"/>
      </w:rPr>
    </w:lvl>
  </w:abstractNum>
  <w:abstractNum w:abstractNumId="1">
    <w:nsid w:val="4A6189A0"/>
    <w:multiLevelType w:val="singleLevel"/>
    <w:tmpl w:val="4A6189A0"/>
    <w:lvl w:ilvl="0" w:tentative="0">
      <w:start w:val="1"/>
      <w:numFmt w:val="chineseCounting"/>
      <w:suff w:val="space"/>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2EB114DE"/>
    <w:rsid w:val="34EB1F43"/>
    <w:rsid w:val="36435EC2"/>
    <w:rsid w:val="3B584BD3"/>
    <w:rsid w:val="43EB7E23"/>
    <w:rsid w:val="4DD97D2F"/>
    <w:rsid w:val="60D032A5"/>
    <w:rsid w:val="66DD3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2009</Words>
  <Characters>2071</Characters>
  <Lines>2</Lines>
  <Paragraphs>1</Paragraphs>
  <TotalTime>3</TotalTime>
  <ScaleCrop>false</ScaleCrop>
  <LinksUpToDate>false</LinksUpToDate>
  <CharactersWithSpaces>2075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2025-08-29T04:24:34Z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3115989309D741DA945EE44A488D69E1</vt:lpwstr>
  </property>
  <property fmtid="{D5CDD505-2E9C-101B-9397-08002B2CF9AE}" pid="4" name="KSOTemplateDocerSaveRecord">
    <vt:lpwstr>eyJoZGlkIjoiYmMxZWViYzY2OTBkMWNmMDZlNjI2NmUwYzQyZTk2ZTMiLCJ1c2VySWQiOiIxMTM5OTQ5NTAyIn0=</vt:lpwstr>
  </property>
</Properties>
</file>