
<file path=[Content_Types].xml><?xml version="1.0" encoding="utf-8"?>
<Types xmlns="http://schemas.openxmlformats.org/package/2006/content-types">
  <Default Extension="bin" ContentType="application/vnd.openxmlformats-officedocument.oleObject"/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">
  <w:body>
    <w:p>
      <w:pPr>
        <w:jc w:val="center"/>
        <w:spacing w:lineRule="exact" w:line="600"/>
        <w:rPr>
          <w:b w:val="1"/>
          <w:sz w:val="44"/>
          <w:szCs w:val="44"/>
          <w:rFonts w:ascii="仿宋" w:eastAsia="仿宋" w:hAnsi="仿宋" w:cs="仿宋" w:hint="eastAsia"/>
        </w:rPr>
        <w:outlineLvl w:val="0"/>
      </w:pPr>
      <w:r>
        <w:rPr>
          <w:b w:val="1"/>
          <w:sz w:val="44"/>
          <w:szCs w:val="44"/>
          <w:rFonts w:ascii="仿宋" w:eastAsia="仿宋" w:hAnsi="仿宋" w:cs="仿宋" w:hint="eastAsia"/>
        </w:rPr>
        <w:t>黑水县红十字会</w:t>
      </w:r>
      <w:bookmarkStart w:id="1" w:name="_Toc15396616"/>
    </w:p>
    <w:p>
      <w:pPr>
        <w:jc w:val="center"/>
        <w:spacing w:lineRule="exact" w:line="600"/>
        <w:rPr>
          <w:b w:val="1"/>
          <w:sz w:val="44"/>
          <w:szCs w:val="44"/>
          <w:rFonts w:ascii="仿宋" w:eastAsia="仿宋" w:hAnsi="仿宋" w:cs="仿宋"/>
        </w:rPr>
        <w:outlineLvl w:val="0"/>
      </w:pPr>
      <w:r>
        <w:rPr>
          <w:b w:val="1"/>
          <w:sz w:val="44"/>
          <w:szCs w:val="44"/>
          <w:rFonts w:ascii="仿宋" w:eastAsia="仿宋" w:hAnsi="仿宋" w:cs="仿宋" w:hint="eastAsia"/>
        </w:rPr>
        <w:t>201</w:t>
      </w:r>
      <w:r>
        <w:rPr>
          <w:b w:val="1"/>
          <w:sz w:val="44"/>
          <w:szCs w:val="44"/>
          <w:rFonts w:ascii="仿宋" w:eastAsia="仿宋" w:hAnsi="仿宋" w:cs="仿宋" w:hint="eastAsia"/>
          <w:lang w:eastAsia="zh-CN" w:val="en-US"/>
        </w:rPr>
        <w:t>9</w:t>
      </w:r>
      <w:r>
        <w:rPr>
          <w:b w:val="1"/>
          <w:sz w:val="44"/>
          <w:szCs w:val="44"/>
          <w:rFonts w:ascii="仿宋" w:eastAsia="仿宋" w:hAnsi="仿宋" w:cs="仿宋" w:hint="eastAsia"/>
        </w:rPr>
        <w:t>年部门整体支出绩效评价报告</w:t>
      </w:r>
      <w:bookmarkEnd w:id="1"/>
    </w:p>
    <w:p>
      <w:pPr>
        <w:spacing w:lineRule="exact" w:line="580"/>
        <w:ind w:firstLine="200"/>
        <w:rPr>
          <w:b w:val="1"/>
          <w:sz w:val="32"/>
          <w:szCs w:val="32"/>
          <w:rFonts w:ascii="仿宋_GB2312" w:eastAsia="仿宋_GB2312" w:hAnsi="黑体" w:cs="黑体"/>
        </w:rPr>
      </w:pPr>
    </w:p>
    <w:p>
      <w:pPr>
        <w:spacing w:lineRule="exact" w:line="580"/>
        <w:ind w:firstLine="200"/>
        <w:rPr>
          <w:sz w:val="32"/>
          <w:szCs w:val="32"/>
          <w:rFonts w:ascii="仿宋_GB2312" w:eastAsia="仿宋_GB2312" w:hAnsi="黑体" w:cs="黑体"/>
        </w:rPr>
      </w:pPr>
      <w:r>
        <w:rPr>
          <w:sz w:val="32"/>
          <w:szCs w:val="32"/>
          <w:rFonts w:ascii="仿宋_GB2312" w:eastAsia="仿宋_GB2312" w:hAnsi="黑体" w:cs="黑体" w:hint="eastAsia"/>
        </w:rPr>
        <w:t>一、部门（单位）概况</w:t>
      </w:r>
    </w:p>
    <w:p>
      <w:pPr>
        <w:jc w:val="both"/>
        <w:spacing w:lineRule="exact" w:line="580"/>
        <w:ind w:left="283" w:firstLine="200"/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</w:pP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（一）机构组成。</w:t>
      </w:r>
      <w:r>
        <w:rPr>
          <w:rtl w:val="0"/>
          <w:rStyle w:val="PO1"/>
          <w:spacing w:val="0"/>
          <w:color w:val="333333"/>
          <w:sz w:val="32"/>
          <w:szCs w:val="32"/>
          <w:rFonts w:ascii="仿宋" w:eastAsia="仿宋" w:hAnsi="仿宋" w:cs="仿宋"/>
        </w:rPr>
        <w:t>本单位是县政府领导的正科级全额拨款</w:t>
      </w:r>
      <w:r>
        <w:rPr>
          <w:rtl w:val="0"/>
          <w:rStyle w:val="PO1"/>
          <w:spacing w:val="0"/>
          <w:color w:val="333333"/>
          <w:sz w:val="32"/>
          <w:szCs w:val="32"/>
          <w:rFonts w:ascii="仿宋" w:eastAsia="仿宋" w:hAnsi="仿宋" w:cs="仿宋"/>
        </w:rPr>
        <w:t>的群团事业机构（参公），下属三个股室（办公室、财务室、</w:t>
      </w:r>
      <w:r>
        <w:rPr>
          <w:rtl w:val="0"/>
          <w:rStyle w:val="PO1"/>
          <w:spacing w:val="0"/>
          <w:color w:val="333333"/>
          <w:sz w:val="32"/>
          <w:szCs w:val="32"/>
          <w:rFonts w:ascii="仿宋" w:eastAsia="仿宋" w:hAnsi="仿宋" w:cs="仿宋"/>
        </w:rPr>
        <w:t>项目赈济股）。</w:t>
      </w:r>
    </w:p>
    <w:p>
      <w:pPr>
        <w:bidi w:val="0"/>
        <w:jc w:val="both"/>
        <w:spacing w:lineRule="auto" w:line="360" w:before="0" w:after="0"/>
        <w:pageBreakBefore w:val="0"/>
        <w:ind w:left="0" w:right="0" w:firstLine="640"/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snapToGrid w:val="on"/>
        <w:autoSpaceDE w:val="1"/>
        <w:autoSpaceDN w:val="1"/>
      </w:pP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（二）机构职能。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开展救灾的准备工作；普及卫生救护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和防病知识、进行初级卫生培训、组织群众参加现场救护、参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与输血献血、开展其他人道主义服务活动；参与国际人道主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义救援工作；依照日内瓦公约及其附加议定书的有关规定开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展工作；承办县委、县政府交办的其他事项。</w:t>
      </w:r>
    </w:p>
    <w:p>
      <w:pPr>
        <w:bidi w:val="0"/>
        <w:jc w:val="left"/>
        <w:spacing w:lineRule="auto" w:line="360" w:before="0" w:after="0"/>
        <w:pageBreakBefore w:val="0"/>
        <w:ind w:left="0" w:right="0" w:firstLine="640"/>
        <w:rPr>
          <w:sz w:val="32"/>
          <w:szCs w:val="32"/>
          <w:rFonts w:ascii="仿宋_GB2312" w:eastAsia="仿宋_GB2312" w:hAnsi="仿宋" w:cs="仿宋_GB2312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（三）人员概况。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人员情况：编制数4人，本年度实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有人数5人——常务副会长1名、专职副会长1名、工勤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人员1名、参公管理人员2名。</w:t>
      </w:r>
    </w:p>
    <w:p>
      <w:pPr>
        <w:spacing w:lineRule="exact" w:line="580"/>
        <w:ind w:firstLine="200"/>
        <w:rPr>
          <w:sz w:val="32"/>
          <w:szCs w:val="32"/>
          <w:rFonts w:ascii="仿宋_GB2312" w:eastAsia="仿宋_GB2312" w:hAnsi="黑体" w:cs="黑体"/>
        </w:rPr>
      </w:pPr>
      <w:r>
        <w:rPr>
          <w:sz w:val="32"/>
          <w:szCs w:val="32"/>
          <w:rFonts w:ascii="仿宋_GB2312" w:eastAsia="仿宋_GB2312" w:hAnsi="黑体" w:cs="黑体" w:hint="eastAsia"/>
        </w:rPr>
        <w:t>二、部门财政资金收支情况</w:t>
      </w:r>
    </w:p>
    <w:p>
      <w:pPr>
        <w:spacing w:lineRule="exact" w:line="580"/>
        <w:ind w:firstLine="520"/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</w:pPr>
      <w:r>
        <w:rPr>
          <w:sz w:val="32"/>
          <w:szCs w:val="32"/>
          <w:rFonts w:ascii="仿宋_GB2312" w:eastAsia="仿宋_GB2312" w:hAnsi="仿宋" w:cs="仿宋_GB2312" w:hint="eastAsia"/>
        </w:rPr>
        <w:t>（</w:t>
      </w:r>
      <w:r>
        <w:rPr>
          <w:sz w:val="32"/>
          <w:szCs w:val="32"/>
          <w:rFonts w:ascii="仿宋_GB2312" w:eastAsia="仿宋_GB2312" w:hAnsi="仿宋" w:cs="仿宋_GB2312" w:hint="eastAsia"/>
        </w:rPr>
        <w:t xml:space="preserve"> </w:t>
      </w: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一）部门财政资金收入情况。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2019年财政拨款收入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87.38万元，其中：工资福利收入79.42万元，商品服务收入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7.77万元，对个人家庭补助收入0.19万元，其他资本性收入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0万元。</w:t>
      </w:r>
    </w:p>
    <w:p>
      <w:pPr>
        <w:bidi w:val="0"/>
        <w:jc w:val="both"/>
        <w:spacing w:lineRule="auto" w:line="360" w:before="0" w:after="0"/>
        <w:pageBreakBefore w:val="0"/>
        <w:ind w:left="0" w:right="0" w:firstLine="640"/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（二）部门财政资金支出情况。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2019年财政拨款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支出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78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7.38万元，其中：工资福利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支出79.42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万元，商品服务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支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出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7.77万元，对个人家庭补助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支出0.19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万元，其他资本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 xml:space="preserve">性收入0万元。 </w:t>
      </w:r>
    </w:p>
    <w:p>
      <w:pPr>
        <w:bidi w:val="0"/>
        <w:jc w:val="left"/>
        <w:spacing w:lineRule="auto" w:line="360" w:before="0" w:after="0"/>
        <w:pageBreakBefore w:val="0"/>
        <w:ind w:left="0" w:right="0" w:firstLine="640"/>
        <w:rPr>
          <w:sz w:val="32"/>
          <w:szCs w:val="32"/>
          <w:rFonts w:ascii="仿宋_GB2312" w:eastAsia="仿宋_GB2312" w:hAnsi="仿宋" w:cs="仿宋_GB2312"/>
        </w:rPr>
        <w:snapToGrid w:val="off"/>
        <w:autoSpaceDE w:val="1"/>
        <w:autoSpaceDN w:val="1"/>
      </w:pPr>
    </w:p>
    <w:p>
      <w:pPr>
        <w:spacing w:lineRule="exact" w:line="580"/>
        <w:ind w:firstLine="0"/>
        <w:rPr>
          <w:sz w:val="32"/>
          <w:szCs w:val="32"/>
          <w:rFonts w:ascii="仿宋_GB2312" w:eastAsia="仿宋_GB2312" w:hAnsi="黑体" w:cs="黑体"/>
        </w:rPr>
      </w:pPr>
      <w:r>
        <w:rPr>
          <w:sz w:val="32"/>
          <w:szCs w:val="32"/>
          <w:rFonts w:ascii="仿宋_GB2312" w:eastAsia="仿宋_GB2312" w:hAnsi="黑体" w:cs="黑体" w:hint="eastAsia"/>
        </w:rPr>
        <w:t>三、部门整体预算绩效管理情况</w:t>
      </w:r>
    </w:p>
    <w:p>
      <w:pPr>
        <w:spacing w:lineRule="exact" w:line="580"/>
        <w:ind w:firstLine="200"/>
        <w:rPr>
          <w:sz w:val="32"/>
          <w:szCs w:val="32"/>
          <w:rFonts w:ascii="仿宋_GB2312" w:eastAsia="仿宋_GB2312" w:hAnsi="仿宋" w:cs="仿宋_GB2312"/>
        </w:rPr>
      </w:pPr>
      <w:r>
        <w:rPr>
          <w:sz w:val="32"/>
          <w:szCs w:val="32"/>
          <w:rFonts w:ascii="仿宋_GB2312" w:eastAsia="仿宋_GB2312" w:hAnsi="仿宋" w:cs="仿宋_GB2312" w:hint="eastAsia"/>
        </w:rPr>
        <w:t>（一）部门预算管理。</w:t>
      </w:r>
    </w:p>
    <w:p>
      <w:pPr>
        <w:bidi w:val="0"/>
        <w:jc w:val="left"/>
        <w:spacing w:lineRule="auto" w:line="360" w:before="0" w:after="0"/>
        <w:pageBreakBefore w:val="0"/>
        <w:ind w:left="0" w:right="0" w:firstLine="640"/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1</w:t>
      </w: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、</w:t>
      </w: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预决算编制情况。</w:t>
      </w:r>
    </w:p>
    <w:p>
      <w:pPr>
        <w:bidi w:val="0"/>
        <w:jc w:val="both"/>
        <w:spacing w:lineRule="auto" w:line="360" w:before="0" w:after="0"/>
        <w:pageBreakBefore w:val="0"/>
        <w:ind w:left="0" w:right="0" w:firstLine="640"/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snapToGrid w:val="on"/>
        <w:autoSpaceDE w:val="1"/>
        <w:autoSpaceDN w:val="1"/>
      </w:pP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预决算编制：报送实效、编制质量、绩效目标填报情况</w:t>
      </w: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等。</w:t>
      </w:r>
      <w:r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t>我会预算编制按照《中华人民共和国预算法》、《中华</w:t>
      </w:r>
      <w:r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t>人民共和国预算法实施条例》的有关规定，财政支出必须</w:t>
      </w:r>
      <w:r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t>“量入为出、量力而行”，坚持“适度从紧、积极稳妥”的</w:t>
      </w:r>
      <w:r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t>财政政策，保证财政预算顺利实施。一是保障本单位财政供</w:t>
      </w:r>
      <w:r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t>养人员工资的发放；二是保障本单位正常运转所需经费；三</w:t>
      </w:r>
      <w:r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t>是安排必须的促发展支出。我会预决算编制均在规定时间内</w:t>
      </w:r>
      <w:r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t>按要求完成报送</w:t>
      </w:r>
      <w:r>
        <w:rPr>
          <w:rtl w:val="0"/>
          <w:rStyle w:val="PO1"/>
          <w:spacing w:val="0"/>
          <w:b w:val="1"/>
          <w:color w:val="auto"/>
          <w:sz w:val="30"/>
          <w:szCs w:val="30"/>
          <w:rFonts w:ascii="仿宋" w:eastAsia="仿宋" w:hAnsi="仿宋" w:cs="仿宋"/>
        </w:rPr>
        <w:t xml:space="preserve"> 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 xml:space="preserve">和公示 。</w:t>
      </w:r>
    </w:p>
    <w:p>
      <w:pPr>
        <w:bidi w:val="0"/>
        <w:jc w:val="left"/>
        <w:spacing w:lineRule="auto" w:line="360" w:before="0" w:after="0"/>
        <w:pageBreakBefore w:val="0"/>
        <w:ind w:left="0" w:right="0" w:firstLine="640"/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2</w:t>
      </w: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、</w:t>
      </w: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执行管理情况。</w:t>
      </w:r>
    </w:p>
    <w:p>
      <w:pPr>
        <w:bidi w:val="0"/>
        <w:jc w:val="both"/>
        <w:spacing w:lineRule="auto" w:line="360" w:before="0" w:after="0"/>
        <w:pageBreakBefore w:val="0"/>
        <w:ind w:left="0" w:right="0" w:firstLine="640"/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包括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部门预算执行进度情况、中期评估情况、“三公”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经费预算执行情况等。</w:t>
      </w:r>
      <w:r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t>部门预算执行进度情况：按月度执行</w:t>
      </w:r>
      <w:r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t>预算，根据县财</w:t>
      </w:r>
      <w:r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t>政部门的要求及时与县财政局进行账务核对，认</w:t>
      </w:r>
      <w:r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t>真核实用款额度，中期评估、节能降耗及“三公”经费预算执行</w:t>
      </w:r>
      <w:r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t>情况等。黑水县红十字会2019年“三公”经费总额5.08万元，</w:t>
      </w:r>
      <w:r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t>其中公务用车运行维护费5万元，公务接待费0.08万元，公务用</w:t>
      </w:r>
      <w:r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t xml:space="preserve">车保有量1辆。 2019年公务用车运行维护费支出2.31万元,</w:t>
      </w:r>
      <w:r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t xml:space="preserve">接待费支出0万元。             </w:t>
      </w:r>
    </w:p>
    <w:p>
      <w:pPr>
        <w:bidi w:val="0"/>
        <w:jc w:val="both"/>
        <w:spacing w:lineRule="auto" w:line="360" w:before="0" w:after="0"/>
        <w:pageBreakBefore w:val="0"/>
        <w:ind w:left="0" w:right="0" w:firstLine="640"/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3</w:t>
      </w: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、</w:t>
      </w: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综合管理情况。</w:t>
      </w:r>
    </w:p>
    <w:p>
      <w:pPr>
        <w:bidi w:val="0"/>
        <w:jc w:val="both"/>
        <w:spacing w:lineRule="auto" w:line="360" w:before="0" w:after="0"/>
        <w:pageBreakBefore w:val="0"/>
        <w:ind w:left="0" w:right="0" w:firstLine="640"/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t>包括政策采购实施计划、资产管理、内控制度管理、信</w:t>
      </w:r>
      <w:r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t>息公开、绩效评价及依法接受财政监督情况等。</w:t>
      </w:r>
    </w:p>
    <w:p>
      <w:pPr>
        <w:bidi w:val="0"/>
        <w:jc w:val="both"/>
        <w:spacing w:lineRule="auto" w:line="360" w:before="0" w:after="0"/>
        <w:pageBreakBefore w:val="0"/>
        <w:ind w:left="0" w:right="0" w:firstLine="600"/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t>1、政策采购实施计划：无</w:t>
      </w:r>
    </w:p>
    <w:p>
      <w:pPr>
        <w:bidi w:val="0"/>
        <w:jc w:val="both"/>
        <w:spacing w:lineRule="auto" w:line="360" w:before="0" w:after="0"/>
        <w:pageBreakBefore w:val="0"/>
        <w:ind w:left="0" w:right="0" w:firstLine="600"/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t>2、资产管理：我会2019年固定资产无变化。</w:t>
      </w:r>
    </w:p>
    <w:p>
      <w:pPr>
        <w:bidi w:val="0"/>
        <w:jc w:val="both"/>
        <w:spacing w:lineRule="auto" w:line="360" w:before="0" w:after="0"/>
        <w:pageBreakBefore w:val="0"/>
        <w:ind w:left="0" w:right="0" w:firstLine="600"/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t>3、内控制度管理、信息公开：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>按照相关财经纪律，制定了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>《红十字财务管理制度》、《财务室工作职责》、《黑水县红十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>字会财务内控制度》等，严格按照财务管理制度，及时组织人员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>按时编报预、决算报表和报告，并及时向主管部门上报，财政局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>审核通过批复后及时公开预、决算资料。</w:t>
      </w:r>
    </w:p>
    <w:p>
      <w:pPr>
        <w:bidi w:val="0"/>
        <w:jc w:val="both"/>
        <w:spacing w:lineRule="auto" w:line="360" w:before="0" w:after="0"/>
        <w:pageBreakBefore w:val="0"/>
        <w:ind w:left="0" w:right="0" w:firstLine="600"/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>4、信息公开：按照财务管理制度，及时组织人员按时编报预、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>决算报表和报告，并及时向主管部门上报，财政局审核通过批复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>后及时公开预、决算资料，“三公经费”，公务费使用情况等。</w:t>
      </w:r>
    </w:p>
    <w:p>
      <w:pPr>
        <w:bidi w:val="0"/>
        <w:jc w:val="both"/>
        <w:spacing w:lineRule="auto" w:line="360" w:before="0" w:after="0"/>
        <w:pageBreakBefore w:val="0"/>
        <w:ind w:left="0" w:right="0" w:firstLine="600"/>
        <w:rPr>
          <w:sz w:val="32"/>
          <w:szCs w:val="32"/>
          <w:rFonts w:ascii="仿宋_GB2312" w:eastAsia="仿宋_GB2312" w:hAnsi="仿宋" w:cs="仿宋_GB2312"/>
        </w:rPr>
        <w:snapToGrid w:val="off"/>
        <w:autoSpaceDE w:val="1"/>
        <w:autoSpaceDN w:val="1"/>
      </w:pPr>
    </w:p>
    <w:p>
      <w:pPr>
        <w:spacing w:lineRule="exact" w:line="580"/>
        <w:ind w:firstLine="0"/>
        <w:rPr>
          <w:sz w:val="32"/>
          <w:szCs w:val="32"/>
          <w:rFonts w:ascii="仿宋_GB2312" w:eastAsia="仿宋_GB2312" w:hAnsi="仿宋" w:cs="仿宋_GB2312"/>
        </w:rPr>
      </w:pPr>
      <w:r>
        <w:rPr>
          <w:sz w:val="32"/>
          <w:szCs w:val="32"/>
          <w:rFonts w:ascii="仿宋_GB2312" w:eastAsia="仿宋_GB2312" w:hAnsi="仿宋" w:cs="仿宋_GB2312" w:hint="eastAsia"/>
        </w:rPr>
        <w:t>（二）专项预算管理。</w:t>
      </w:r>
    </w:p>
    <w:p>
      <w:pPr>
        <w:spacing w:lineRule="exact" w:line="580"/>
        <w:ind w:firstLine="520"/>
        <w:rPr>
          <w:sz w:val="32"/>
          <w:szCs w:val="32"/>
          <w:rFonts w:ascii="仿宋_GB2312" w:eastAsia="仿宋_GB2312" w:hAnsi="仿宋" w:cs="仿宋_GB2312"/>
        </w:rPr>
      </w:pPr>
      <w:r>
        <w:rPr>
          <w:sz w:val="32"/>
          <w:szCs w:val="32"/>
          <w:rFonts w:ascii="仿宋_GB2312" w:eastAsia="仿宋_GB2312" w:hAnsi="仿宋" w:cs="仿宋_GB2312" w:hint="eastAsia"/>
        </w:rPr>
        <w:t>2019</w:t>
      </w:r>
      <w:r>
        <w:rPr>
          <w:sz w:val="32"/>
          <w:szCs w:val="32"/>
          <w:rFonts w:ascii="仿宋_GB2312" w:eastAsia="仿宋_GB2312" w:hAnsi="仿宋" w:cs="仿宋_GB2312" w:hint="eastAsia"/>
        </w:rPr>
        <w:t>年，我单位无</w:t>
      </w:r>
      <w:r>
        <w:rPr>
          <w:sz w:val="32"/>
          <w:szCs w:val="32"/>
          <w:rFonts w:ascii="仿宋_GB2312" w:eastAsia="仿宋_GB2312" w:hAnsi="仿宋" w:cs="仿宋_GB2312" w:hint="eastAsia"/>
        </w:rPr>
        <w:t>专项预算项目。</w:t>
      </w:r>
    </w:p>
    <w:p>
      <w:pPr>
        <w:spacing w:lineRule="exact" w:line="580"/>
        <w:ind w:firstLine="200"/>
        <w:rPr>
          <w:sz w:val="32"/>
          <w:szCs w:val="32"/>
          <w:rFonts w:ascii="仿宋_GB2312" w:eastAsia="仿宋_GB2312" w:hAnsi="仿宋" w:cs="仿宋_GB2312"/>
        </w:rPr>
      </w:pPr>
      <w:r>
        <w:rPr>
          <w:sz w:val="32"/>
          <w:szCs w:val="32"/>
          <w:rFonts w:ascii="仿宋_GB2312" w:eastAsia="仿宋_GB2312" w:hAnsi="仿宋" w:cs="仿宋_GB2312" w:hint="eastAsia"/>
        </w:rPr>
        <w:t>（三）结果应用情况。</w:t>
      </w:r>
    </w:p>
    <w:p>
      <w:pPr>
        <w:bidi w:val="0"/>
        <w:jc w:val="both"/>
        <w:spacing w:lineRule="auto" w:line="360" w:before="0" w:after="0"/>
        <w:pageBreakBefore w:val="0"/>
        <w:ind w:left="0" w:right="0" w:firstLine="600"/>
        <w:rPr>
          <w:sz w:val="32"/>
          <w:szCs w:val="32"/>
          <w:rFonts w:ascii="仿宋_GB2312" w:eastAsia="仿宋_GB2312" w:hAnsi="仿宋" w:cs="仿宋_GB2312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t>绩效评价：我会财政资金主要用于本单位的基本支出，即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>工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>资福利支出、商品服务支出、对个人家庭补助支出，针对红十字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>特点，制作宣传资料向我县群众普及卫生救护和防病知识，进行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 xml:space="preserve">初级卫生培训，组织群众参加现场救护，宣传献血等， 2019</w:t>
      </w:r>
      <w:r>
        <w:rPr>
          <w:rtl w:val="0"/>
          <w:rStyle w:val="PO1"/>
          <w:spacing w:val="0"/>
          <w:color w:val="auto"/>
          <w:sz w:val="30"/>
          <w:szCs w:val="30"/>
          <w:rFonts w:ascii="仿宋" w:eastAsia="仿宋" w:hAnsi="仿宋" w:cs="仿宋"/>
        </w:rPr>
        <w:t>年我会</w:t>
      </w:r>
      <w:r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t>认真执行预算，严格财务监管，充分发挥资金使用效应，助</w:t>
      </w:r>
      <w:r>
        <w:rPr>
          <w:rtl w:val="0"/>
          <w:rStyle w:val="PO1"/>
          <w:spacing w:val="0"/>
          <w:color w:val="000000"/>
          <w:sz w:val="30"/>
          <w:szCs w:val="30"/>
          <w:rFonts w:ascii="仿宋" w:eastAsia="仿宋" w:hAnsi="仿宋" w:cs="仿宋"/>
        </w:rPr>
        <w:t>推红十字事业发展。</w:t>
      </w:r>
    </w:p>
    <w:p>
      <w:pPr>
        <w:spacing w:lineRule="exact" w:line="580"/>
        <w:ind w:firstLine="200"/>
        <w:rPr>
          <w:sz w:val="32"/>
          <w:szCs w:val="32"/>
          <w:rFonts w:ascii="仿宋_GB2312" w:eastAsia="仿宋_GB2312" w:hAnsi="黑体" w:cs="黑体"/>
        </w:rPr>
      </w:pPr>
      <w:r>
        <w:rPr>
          <w:sz w:val="32"/>
          <w:szCs w:val="32"/>
          <w:rFonts w:ascii="仿宋_GB2312" w:eastAsia="仿宋_GB2312" w:hAnsi="黑体" w:cs="黑体" w:hint="eastAsia"/>
        </w:rPr>
        <w:t>四、评价结论及建议</w:t>
      </w:r>
    </w:p>
    <w:p>
      <w:pPr>
        <w:spacing w:lineRule="exact" w:line="580"/>
        <w:ind w:firstLine="200"/>
        <w:rPr>
          <w:rtl w:val="0"/>
          <w:rStyle w:val="PO1"/>
          <w:spacing w:val="0"/>
          <w:b w:val="1"/>
          <w:color w:val="auto"/>
          <w:sz w:val="32"/>
          <w:szCs w:val="32"/>
          <w:rFonts w:ascii="仿宋" w:eastAsia="仿宋" w:hAnsi="仿宋" w:cs="仿宋"/>
        </w:rPr>
      </w:pPr>
      <w:r>
        <w:rPr>
          <w:sz w:val="32"/>
          <w:szCs w:val="32"/>
          <w:rFonts w:ascii="仿宋_GB2312" w:eastAsia="仿宋_GB2312" w:hAnsi="仿宋" w:cs="仿宋_GB2312" w:hint="eastAsia"/>
        </w:rPr>
        <w:t>（</w:t>
      </w: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（一）评价结论。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本次评价结果显示，我会预算编制合理，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基本符合全年各项支出实际，预算执行、管理措施到位，较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好地实现了绩效目标，</w:t>
      </w:r>
      <w:r>
        <w:rPr>
          <w:rtl w:val="0"/>
          <w:rStyle w:val="PO1"/>
          <w:spacing w:val="0"/>
          <w:color w:val="000000"/>
          <w:sz w:val="32"/>
          <w:szCs w:val="32"/>
          <w:rFonts w:ascii="仿宋" w:eastAsia="仿宋" w:hAnsi="仿宋" w:cs="仿宋"/>
        </w:rPr>
        <w:t>无截留、挪用等违规现象。</w:t>
      </w:r>
    </w:p>
    <w:p>
      <w:pPr>
        <w:bidi w:val="0"/>
        <w:jc w:val="left"/>
        <w:spacing w:lineRule="auto" w:line="360" w:before="0" w:after="0"/>
        <w:pageBreakBefore w:val="0"/>
        <w:ind w:left="0" w:right="0" w:firstLine="640"/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（二）存在问题。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年度支出预算序时进度无法做到与</w:t>
      </w:r>
      <w:r>
        <w:rPr>
          <w:rtl w:val="0"/>
          <w:rStyle w:val="PO1"/>
          <w:spacing w:val="0"/>
          <w:color w:val="auto"/>
          <w:sz w:val="32"/>
          <w:szCs w:val="32"/>
          <w:rFonts w:ascii="仿宋" w:eastAsia="仿宋" w:hAnsi="仿宋" w:cs="仿宋"/>
        </w:rPr>
        <w:t>计划完全相符。</w:t>
      </w:r>
    </w:p>
    <w:p>
      <w:pPr>
        <w:bidi w:val="0"/>
        <w:jc w:val="left"/>
        <w:spacing w:lineRule="auto" w:line="360" w:before="0" w:after="0"/>
        <w:pageBreakBefore w:val="0"/>
        <w:ind w:left="0" w:right="0" w:firstLine="640"/>
        <w:rPr>
          <w:sz w:val="32"/>
          <w:szCs w:val="32"/>
          <w:rFonts w:ascii="仿宋_GB2312" w:eastAsia="仿宋_GB2312" w:hAnsi="仿宋_GB2312" w:cs="仿宋_GB2312"/>
        </w:rPr>
        <w:snapToGrid w:val="off"/>
        <w:autoSpaceDE w:val="1"/>
        <w:autoSpaceDN w:val="1"/>
      </w:pP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（三）改进建议。</w:t>
      </w:r>
      <w:r>
        <w:rPr>
          <w:rtl w:val="0"/>
          <w:rStyle w:val="PO1"/>
          <w:spacing w:val="0"/>
          <w:color w:val="000000"/>
          <w:sz w:val="32"/>
          <w:szCs w:val="32"/>
          <w:shd w:val="clear" w:color="000000" w:fill="FFFFFF"/>
          <w:rFonts w:ascii="仿宋" w:eastAsia="仿宋" w:hAnsi="仿宋" w:cs="仿宋"/>
        </w:rPr>
        <w:t>无</w:t>
      </w:r>
    </w:p>
    <w:p>
      <w:pPr>
        <w:jc w:val="left"/>
        <w:rPr>
          <w:sz w:val="32"/>
          <w:szCs w:val="32"/>
          <w:rFonts w:ascii="仿宋_GB2312" w:eastAsia="仿宋_GB2312" w:hAnsi="仿宋_GB2312" w:cs="仿宋_GB2312"/>
        </w:rPr>
      </w:pPr>
    </w:p>
    <w:sectPr>
      <w:pgSz w:w="11906" w:h="16838"/>
      <w:pgMar w:top="1440" w:left="1800" w:bottom="1440" w:right="1800" w:header="851" w:footer="992" w:gutter="0"/>
      <w:pgNumType w:fmt="decimal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1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134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"/>
    <w:family w:val="swiss"/>
    <w:pitch w:val="default"/>
    <w:sig w:usb0="a00002ef" w:usb1="4000207b" w:usb2="00000000" w:usb3="00000000" w:csb0="2000009f" w:csb1="00000000"/>
  </w:font>
  <w:font w:name="仿宋_GB2312">
    <w:altName w:val="ä»¿å®"/>
    <w:panose1 w:val="02010609030101010101"/>
    <w:charset w:val="134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0000000000000000000"/>
    <w:charset w:val="134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134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420"/>
  <w:displayHorizontalDrawingGridEvery w:val="0"/>
  <w:displayVerticalDrawingGridEvery w:val="2"/>
  <w:characterSpacingControl w:val="compressPunctuation"/>
  <w:bordersDoNotSurroundHeader/>
  <w:bordersDoNotSurroundFooter/>
  <w:compat>
    <w:balanceSingleByteDoubleByteWidth/>
    <w:adjustLineHeightInTable/>
    <w:useFELayout/>
    <w:compatSetting w:name="compatibilityMode" w:uri="http://schemas.microsoft.com/office/word" w:val="12"/>
    <w:ulTrailSpace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rPrDefault>
      <w:rPr>
        <w:rFonts w:asciiTheme="minorHAnsi" w:eastAsiaTheme="minorEastAsia" w:hAnsiTheme="minorHAnsi" w:cstheme="minorBidi"/>
      </w:rPr>
    </w:rPrDefault>
  </w:docDefaults>
  <w:style w:default="1" w:styleId="PO1" w:type="paragraph">
    <w:name w:val="Normal"/>
    <w:qFormat/>
    <w:uiPriority w:val="1"/>
    <w:pPr>
      <w:jc w:val="both"/>
      <w:rPr/>
    </w:pPr>
    <w:rPr>
      <w:sz w:val="21"/>
      <w:szCs w:val="21"/>
      <w:rFonts w:ascii="Times New Roman" w:eastAsia="宋体" w:hAnsi="Times New Roman" w:cs="Times New Roman"/>
      <w:lang w:bidi="ar-SA" w:eastAsia="zh-CN" w:val="en-US"/>
    </w:r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</w:tblPr>
  </w:style>
  <w:style w:default="1" w:styleId="PO4" w:type="numbering">
    <w:name w:val="No List"/>
    <w:next w:val="PO1"/>
    <w:uiPriority w:val="4"/>
    <w:semiHidden/>
    <w:unhideWhenUsed/>
  </w:style>
  <w:style w:styleId="PO151" w:type="paragraph">
    <w:name w:val="footer"/>
    <w:basedOn w:val="PO1"/>
    <w:link w:val="PO154"/>
    <w:uiPriority w:val="151"/>
    <w:semiHidden/>
    <w:unhideWhenUsed/>
    <w:pPr>
      <w:jc w:val="left"/>
      <w:tabs>
        <w:tab w:val="center" w:pos="4153"/>
        <w:tab w:val="right" w:pos="8306"/>
      </w:tabs>
      <w:rPr/>
      <w:snapToGrid w:val="off"/>
    </w:pPr>
    <w:rPr>
      <w:sz w:val="18"/>
      <w:szCs w:val="18"/>
      <w:rFonts w:asciiTheme="minorHAnsi" w:eastAsiaTheme="minorEastAsia" w:hAnsiTheme="minorHAnsi" w:cstheme="minorBidi"/>
    </w:rPr>
  </w:style>
  <w:style w:styleId="PO152" w:type="paragraph">
    <w:name w:val="header"/>
    <w:basedOn w:val="PO1"/>
    <w:link w:val="PO153"/>
    <w:uiPriority w:val="152"/>
    <w:semiHidden/>
    <w:unhideWhenUsed/>
    <w:pPr>
      <w:jc w:val="center"/>
      <w:pBdr>
        <w:bottom w:val="single" w:sz="6" w:space="1" w:color="000000"/>
      </w:pBdr>
      <w:tabs>
        <w:tab w:val="center" w:pos="4153"/>
        <w:tab w:val="right" w:pos="8306"/>
      </w:tabs>
      <w:rPr/>
      <w:snapToGrid w:val="off"/>
    </w:pPr>
    <w:rPr>
      <w:sz w:val="18"/>
      <w:szCs w:val="18"/>
      <w:rFonts w:asciiTheme="minorHAnsi" w:eastAsiaTheme="minorEastAsia" w:hAnsiTheme="minorHAnsi" w:cstheme="minorBidi"/>
    </w:rPr>
  </w:style>
  <w:style w:customStyle="1" w:styleId="PO153" w:type="character">
    <w:name w:val="页眉 Char"/>
    <w:basedOn w:val="PO2"/>
    <w:link w:val="PO152"/>
    <w:uiPriority w:val="153"/>
    <w:semiHidden/>
    <w:rPr>
      <w:sz w:val="18"/>
      <w:szCs w:val="18"/>
    </w:rPr>
  </w:style>
  <w:style w:customStyle="1" w:styleId="PO154" w:type="character">
    <w:name w:val="页脚 Char"/>
    <w:basedOn w:val="PO2"/>
    <w:link w:val="PO151"/>
    <w:uiPriority w:val="154"/>
    <w:semiHidden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359</Characters>
  <CharactersWithSpaces>0</CharactersWithSpaces>
  <Company>Sky123.Org</Company>
  <DocSecurity>0</DocSecurity>
  <HyperlinksChanged>false</HyperlinksChanged>
  <Lines>2</Lines>
  <LinksUpToDate>false</LinksUpToDate>
  <Pages>4</Pages>
  <Paragraphs>1</Paragraphs>
  <Words>53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Sky123.Org</dc:creator>
  <cp:lastModifiedBy/>
  <dcterms:modified xsi:type="dcterms:W3CDTF">2020-08-06T03:11:57Z</dcterms:modified>
</cp:coreProperties>
</file>