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jc w:val="center"/>
        <w:outlineLvl w:val="0"/>
        <w:rPr>
          <w:rFonts w:ascii="仿宋_GB2312" w:eastAsia="仿宋_GB2312" w:cs="方正小标宋简体" w:hint="eastAsia"/>
          <w:b/>
          <w:sz w:val="32"/>
          <w:szCs w:val="32"/>
        </w:rPr>
      </w:pPr>
      <w:bookmarkStart w:id="0" w:name="_Toc15396616"/>
      <w:r>
        <w:rPr>
          <w:rFonts w:ascii="仿宋_GB2312" w:eastAsia="仿宋_GB2312" w:cs="方正小标宋简体" w:hint="eastAsia"/>
          <w:b/>
          <w:sz w:val="32"/>
          <w:szCs w:val="32"/>
          <w:lang w:eastAsia="zh-CN"/>
        </w:rPr>
        <w:t>黑水县红十字会</w:t>
      </w:r>
      <w:r>
        <w:rPr>
          <w:rFonts w:ascii="仿宋_GB2312" w:eastAsia="仿宋_GB2312" w:cs="方正小标宋简体" w:hint="eastAsia"/>
          <w:b/>
          <w:sz w:val="32"/>
          <w:szCs w:val="32"/>
        </w:rPr>
        <w:t>部门20</w:t>
      </w:r>
      <w:r>
        <w:rPr>
          <w:rFonts w:ascii="仿宋_GB2312" w:eastAsia="仿宋_GB2312" w:cs="方正小标宋简体" w:hint="eastAsia"/>
          <w:b/>
          <w:sz w:val="32"/>
          <w:szCs w:val="32"/>
          <w:lang w:val="en-US" w:eastAsia="zh-CN"/>
        </w:rPr>
        <w:t>20</w:t>
      </w:r>
      <w:r>
        <w:rPr>
          <w:rFonts w:ascii="仿宋_GB2312" w:eastAsia="仿宋_GB2312" w:cs="方正小标宋简体" w:hint="eastAsia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eastAsia="仿宋_GB2312" w:cs="方正小标宋简体"/>
          <w:b/>
          <w:sz w:val="32"/>
          <w:szCs w:val="32"/>
        </w:rPr>
      </w:pPr>
      <w:r>
        <w:rPr>
          <w:rFonts w:ascii="仿宋_GB2312" w:eastAsia="仿宋_GB2312" w:cs="方正小标宋简体" w:hint="eastAsia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200"/>
        <w:rPr>
          <w:rFonts w:ascii="仿宋_GB2312" w:eastAsia="仿宋_GB2312" w:cs="黑体"/>
          <w:b/>
          <w:sz w:val="32"/>
          <w:szCs w:val="32"/>
        </w:rPr>
      </w:pPr>
    </w:p>
    <w:p>
      <w:pPr>
        <w:spacing w:line="580" w:lineRule="exact"/>
        <w:ind w:firstLine="200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一、部门（单位）概况</w:t>
      </w:r>
    </w:p>
    <w:p>
      <w:pPr>
        <w:spacing w:line="580" w:lineRule="exact"/>
        <w:ind w:firstLine="20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（一）机构组成。</w:t>
      </w:r>
    </w:p>
    <w:p>
      <w:pPr>
        <w:snapToGrid w:val="0"/>
        <w:spacing w:line="520" w:lineRule="exact"/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本单位是县政府领导的正科级全额拨款的群团事业机构（参公），下属三个股室（办公室、财务室、项目赈济股）。</w:t>
      </w:r>
    </w:p>
    <w:p>
      <w:pPr>
        <w:numPr>
          <w:ilvl w:val="0"/>
          <w:numId w:val="1"/>
        </w:numPr>
        <w:spacing w:line="560" w:lineRule="exact"/>
        <w:ind w:leftChars="-220" w:left="-462" w:firstLine="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机构职能。</w:t>
      </w:r>
    </w:p>
    <w:p>
      <w:pPr>
        <w:ind w:firstLine="634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开展救灾的准备工作；普及卫生救护和防病知识、进行.</w:t>
      </w:r>
    </w:p>
    <w:p>
      <w:pPr>
        <w:ind w:firstLine="634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+初级卫生培训、组织群众参加现场救护、参与输血献血、开展其他人道主义服务活动；参与国际人道主义救援工作；依照日内瓦公约及其附加议定书的有关规定开展工作；承办县委、县政府交办的其他事项。</w:t>
      </w:r>
    </w:p>
    <w:p>
      <w:pPr>
        <w:spacing w:line="580" w:lineRule="exact"/>
        <w:ind w:firstLine="20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（三）人员概况。</w:t>
      </w:r>
    </w:p>
    <w:p>
      <w:pPr>
        <w:snapToGrid w:val="0"/>
        <w:spacing w:line="520" w:lineRule="exact"/>
        <w:ind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人员情况：编制数4人，本年度实有人数5人——常务副会长1名、专职副会长1名、工勤人员1名、参公管理人员2名。</w:t>
      </w:r>
    </w:p>
    <w:p>
      <w:pPr>
        <w:spacing w:line="580" w:lineRule="exact"/>
        <w:ind w:firstLine="200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二、部门财政资金收支情况</w:t>
      </w:r>
    </w:p>
    <w:p>
      <w:pPr>
        <w:spacing w:line="580" w:lineRule="exact"/>
        <w:ind w:firstLine="20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（一）部门财政资金收入情况。</w:t>
      </w:r>
    </w:p>
    <w:p>
      <w:pPr>
        <w:spacing w:line="600" w:lineRule="exact"/>
        <w:ind w:firstLine="640"/>
        <w:rPr>
          <w:rFonts w:ascii="仿宋_GB2312" w:eastAsia="仿宋_GB2312" w:hint="eastAsia"/>
          <w:color w:val="000000"/>
          <w:sz w:val="32"/>
          <w:szCs w:val="32"/>
          <w:lang w:eastAsia="zh-CN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20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</w:t>
      </w:r>
      <w:r>
        <w:rPr>
          <w:rFonts w:ascii="仿宋_GB2312" w:eastAsia="仿宋_GB2312" w:hint="eastAsia"/>
          <w:color w:val="000000"/>
          <w:sz w:val="32"/>
          <w:szCs w:val="32"/>
        </w:rPr>
        <w:t>年本年收入合计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95.94</w:t>
      </w:r>
      <w:r>
        <w:rPr>
          <w:rFonts w:ascii="仿宋_GB2312" w:eastAsia="仿宋_GB2312" w:hint="eastAsia"/>
          <w:color w:val="000000"/>
          <w:sz w:val="32"/>
          <w:szCs w:val="32"/>
        </w:rPr>
        <w:t>万元，其中：一般公共预算财政拨款收入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95.94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100%</w:t>
      </w:r>
      <w:r>
        <w:rPr>
          <w:rFonts w:ascii="仿宋_GB2312" w:eastAsia="仿宋_GB2312" w:hint="eastAsia"/>
          <w:color w:val="000000"/>
          <w:sz w:val="32"/>
          <w:szCs w:val="32"/>
        </w:rPr>
        <w:t>；政府性基金预算财政拨款收入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0</w:t>
      </w:r>
      <w:r>
        <w:rPr>
          <w:rFonts w:ascii="仿宋_GB2312" w:eastAsia="仿宋_GB2312" w:hint="eastAsia"/>
          <w:color w:val="000000"/>
          <w:sz w:val="32"/>
          <w:szCs w:val="32"/>
        </w:rPr>
        <w:t>万元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部门财政资金支出情况。</w:t>
      </w:r>
    </w:p>
    <w:p>
      <w:pPr>
        <w:spacing w:line="600" w:lineRule="exact"/>
        <w:ind w:firstLine="640"/>
        <w:rPr>
          <w:rFonts w:ascii="仿宋_GB2312" w:eastAsia="仿宋_GB2312" w:hint="eastAsia"/>
          <w:color w:val="000000"/>
          <w:sz w:val="32"/>
          <w:szCs w:val="32"/>
          <w:lang w:eastAsia="zh-CN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20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20</w:t>
      </w:r>
      <w:r>
        <w:rPr>
          <w:rFonts w:ascii="仿宋_GB2312" w:eastAsia="仿宋_GB2312" w:hint="eastAsia"/>
          <w:color w:val="000000"/>
          <w:sz w:val="32"/>
          <w:szCs w:val="32"/>
        </w:rPr>
        <w:t>年一般公共预算财政拨款支出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95.94</w:t>
      </w:r>
      <w:r>
        <w:rPr>
          <w:rFonts w:ascii="仿宋_GB2312" w:eastAsia="仿宋_GB2312" w:hint="eastAsia"/>
          <w:color w:val="000000"/>
          <w:sz w:val="32"/>
          <w:szCs w:val="32"/>
        </w:rPr>
        <w:t>万元，主要用于以下方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面</w:t>
      </w:r>
      <w:r>
        <w:rPr>
          <w:rFonts w:ascii="仿宋_GB2312" w:eastAsia="仿宋_GB2312" w:cs="Times New Roman" w:hint="eastAsia"/>
          <w:color w:val="000000"/>
          <w:sz w:val="32"/>
          <w:szCs w:val="32"/>
          <w:lang w:eastAsia="zh-CN"/>
        </w:rPr>
        <w:t>：</w:t>
      </w:r>
      <w:r>
        <w:rPr>
          <w:rFonts w:ascii="仿宋_GB2312" w:eastAsia="仿宋_GB2312" w:cs="Times New Roman" w:hint="eastAsia"/>
          <w:color w:val="000000"/>
          <w:sz w:val="32"/>
          <w:szCs w:val="32"/>
        </w:rPr>
        <w:t>社会保障和就业（类）</w:t>
      </w:r>
      <w:r>
        <w:rPr>
          <w:rFonts w:ascii="仿宋_GB2312" w:eastAsia="仿宋_GB2312" w:hint="eastAsia"/>
          <w:color w:val="000000"/>
          <w:sz w:val="32"/>
          <w:szCs w:val="32"/>
        </w:rPr>
        <w:t>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84.96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88.56</w:t>
      </w:r>
      <w:r>
        <w:rPr>
          <w:rFonts w:ascii="仿宋_GB2312" w:eastAsia="仿宋_GB2312" w:hint="eastAsia"/>
          <w:color w:val="000000"/>
          <w:sz w:val="32"/>
          <w:szCs w:val="32"/>
        </w:rPr>
        <w:t>%；医疗卫生支出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3.99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4.16</w:t>
      </w:r>
      <w:r>
        <w:rPr>
          <w:rFonts w:ascii="仿宋_GB2312" w:eastAsia="仿宋_GB2312" w:hint="eastAsia"/>
          <w:color w:val="000000"/>
          <w:sz w:val="32"/>
          <w:szCs w:val="32"/>
        </w:rPr>
        <w:t>%；住房保障支出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6.99</w:t>
      </w:r>
      <w:r>
        <w:rPr>
          <w:rFonts w:ascii="仿宋_GB2312" w:eastAsia="仿宋_GB2312" w:hint="eastAsia"/>
          <w:color w:val="000000"/>
          <w:sz w:val="32"/>
          <w:szCs w:val="32"/>
        </w:rPr>
        <w:t>万元，占</w:t>
      </w:r>
      <w:r>
        <w:rPr>
          <w:rFonts w:ascii="仿宋_GB2312" w:eastAsia="仿宋_GB2312" w:hint="eastAsia"/>
          <w:color w:val="000000"/>
          <w:sz w:val="32"/>
          <w:szCs w:val="32"/>
          <w:lang w:val="en-US" w:eastAsia="zh-CN"/>
        </w:rPr>
        <w:t>7.28</w:t>
      </w:r>
      <w:r>
        <w:rPr>
          <w:rFonts w:ascii="仿宋_GB2312" w:eastAsia="仿宋_GB2312" w:hint="eastAsia"/>
          <w:color w:val="000000"/>
          <w:sz w:val="32"/>
          <w:szCs w:val="32"/>
        </w:rPr>
        <w:t>%</w:t>
      </w:r>
      <w:r>
        <w:rPr>
          <w:rFonts w:ascii="仿宋_GB2312" w:eastAsia="仿宋_GB2312" w:hint="eastAsia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200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（一）部门预算管理。</w:t>
      </w:r>
    </w:p>
    <w:p>
      <w:pPr>
        <w:spacing w:line="580" w:lineRule="exact"/>
        <w:ind w:firstLine="200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sz w:val="32"/>
          <w:szCs w:val="32"/>
          <w:lang w:val="zh-CN" w:eastAsia="zh-CN"/>
        </w:rPr>
        <w:t>本单位严格按照</w:t>
      </w: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县财政局“人员经费按标准，公用经费按定额”的预算原则，根据县财政局关于做好2020年财务工作预算的通知要求，客观真实编制了2020年部门预算，2020年财政资金总支出为支出9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5.94</w:t>
      </w: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万元（其中基本支出95.94万元、项目支出0万元）。预算编制是我镇预算体制最基本的环节,是预算管理体制改革的核心。预算编制秉承实事求是的原则，对我镇财政支出做出合理规划，对财政管理体制的完善、活动范围的合理界定、监督和约束都具有重要作用。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（二）专项预算管理。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包括专项预算项目程序严密、规划合理、结果符合、分配科学、分配及时、专项预算绩效目标完成、实施绩效、违规记录等情况。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（三）结果应用情况。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包括部门自评质量、绩效目标公开和自评公开、评价结果整改和应用结果反馈等情况。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</w:p>
    <w:p>
      <w:pPr>
        <w:spacing w:line="580" w:lineRule="exact"/>
        <w:ind w:firstLine="200"/>
        <w:rPr>
          <w:rFonts w:ascii="仿宋_GB2312" w:eastAsia="仿宋_GB2312" w:cs="黑体"/>
          <w:sz w:val="32"/>
          <w:szCs w:val="32"/>
        </w:rPr>
      </w:pPr>
      <w:r>
        <w:rPr>
          <w:rFonts w:ascii="仿宋_GB2312" w:eastAsia="仿宋_GB2312" w:cs="黑体" w:hint="eastAsia"/>
          <w:sz w:val="32"/>
          <w:szCs w:val="32"/>
        </w:rPr>
        <w:t>四、评价结论及建议</w:t>
      </w:r>
    </w:p>
    <w:p>
      <w:pPr>
        <w:spacing w:line="360" w:lineRule="auto"/>
        <w:ind w:firstLine="645"/>
        <w:jc w:val="left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（一）评价结论。</w:t>
      </w:r>
    </w:p>
    <w:p>
      <w:pPr>
        <w:spacing w:line="360" w:lineRule="auto"/>
        <w:ind w:firstLine="645"/>
        <w:jc w:val="left"/>
        <w:rPr>
          <w:rFonts w:ascii="仿宋" w:eastAsia="仿宋" w:hint="eastAsia"/>
          <w:color w:val="000000"/>
          <w:sz w:val="32"/>
          <w:szCs w:val="32"/>
        </w:rPr>
      </w:pPr>
      <w:r>
        <w:rPr>
          <w:rFonts w:ascii="仿宋" w:eastAsia="仿宋" w:hint="eastAsia"/>
          <w:color w:val="000000"/>
          <w:sz w:val="32"/>
          <w:szCs w:val="32"/>
        </w:rPr>
        <w:t>按照国家政策法规规定，结合本部门的实际情况，建立健全了财务管理制度和约束机制，依法、有效地使用财政资金，提高财政资金使用效率，合理分配人、财、物，完成了部门职能目标，实现了较高的工作效率和支出绩效</w:t>
      </w:r>
      <w:r>
        <w:rPr>
          <w:rFonts w:ascii="仿宋" w:eastAsia="仿宋" w:hint="eastAsia"/>
          <w:color w:val="000000"/>
          <w:sz w:val="32"/>
          <w:szCs w:val="32"/>
          <w:lang w:eastAsia="zh-CN"/>
        </w:rPr>
        <w:t>。</w:t>
      </w:r>
      <w:r>
        <w:rPr>
          <w:rFonts w:ascii="仿宋" w:eastAsia="仿宋" w:hint="eastAsia"/>
          <w:color w:val="000000"/>
          <w:sz w:val="32"/>
          <w:szCs w:val="32"/>
        </w:rPr>
        <w:t>结合评价得分评价结果为良好。</w:t>
      </w:r>
    </w:p>
    <w:p>
      <w:pPr>
        <w:spacing w:line="580" w:lineRule="exact"/>
        <w:ind w:firstLine="200"/>
        <w:rPr>
          <w:rFonts w:ascii="仿宋_GB2312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leftChars="-220" w:left="-462" w:firstLine="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存在问题。</w:t>
      </w:r>
    </w:p>
    <w:p>
      <w:pPr>
        <w:spacing w:line="580" w:lineRule="exact"/>
        <w:ind w:leftChars="419" w:left="882" w:right="0" w:firstLine="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财务公开与监督建设有待进一步提高。</w:t>
      </w:r>
    </w:p>
    <w:p>
      <w:pPr>
        <w:numPr>
          <w:ilvl w:val="0"/>
          <w:numId w:val="1"/>
        </w:numPr>
        <w:spacing w:line="580" w:lineRule="exact"/>
        <w:ind w:leftChars="-220" w:left="-462" w:firstLine="0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sz w:val="32"/>
          <w:szCs w:val="32"/>
        </w:rPr>
        <w:t>改进建议。</w:t>
      </w:r>
    </w:p>
    <w:p>
      <w:pPr>
        <w:spacing w:line="580" w:lineRule="exact"/>
        <w:ind w:left="0" w:right="0" w:firstLine="200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加强资金的管理，在公共运行维护资金的使用范围上严格把关，按照规定进行公示。</w:t>
      </w:r>
    </w:p>
    <w:p>
      <w:pPr>
        <w:spacing w:line="580" w:lineRule="exact"/>
        <w:ind w:firstLine="200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</w:p>
    <w:p>
      <w:pPr>
        <w:spacing w:line="580" w:lineRule="exact"/>
        <w:ind w:firstLine="0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r>
        <w:rPr>
          <w:rFonts w:ascii="仿宋" w:eastAsia="仿宋" w:hint="eastAsia"/>
          <w:color w:val="000000"/>
          <w:sz w:val="32"/>
          <w:szCs w:val="32"/>
        </w:rPr>
        <w:t>我们将进一步重视预算的编制工作，提高预算编制的精确度，提高财政资金使用效率，尽量减少预算执行调整、结转和结余注销的情形。</w:t>
      </w:r>
    </w:p>
    <w:sectPr>
      <w:footerReference w:type="default" r:id="rId2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altName w:val="DejaVu Sans"/>
    <w:panose1 w:val="02020603050405020304"/>
    <w:charset w:val="34"/>
    <w:family w:val="auto"/>
    <w:pitch w:val="variable"/>
    <w:sig w:usb0="E0002AFF" w:usb1="C0007841" w:usb2="00000009" w:usb3="00000000" w:csb0="400001FF" w:csb1="FFFF0000"/>
  </w:font>
  <w:font w:name="宋体">
    <w:altName w:val="方正书宋_GBK"/>
    <w:panose1 w:val="02010600030101010101"/>
    <w:charset w:val="22"/>
    <w:family w:val="auto"/>
    <w:pitch w:val="variable"/>
    <w:sig w:usb0="00000003" w:usb1="288F0000" w:usb2="00000006" w:usb3="00000000" w:csb0="00040001" w:csb1="00000000"/>
  </w:font>
  <w:font w:name="仿宋_GB2312">
    <w:altName w:val="ä»¿å®"/>
    <w:panose1 w:val="02010609030101010101"/>
    <w:charset w:val="34"/>
    <w:family w:val="modern"/>
    <w:pitch w:val="variable"/>
    <w:sig w:usb0="00000000" w:usb1="00000000" w:usb2="00000010" w:usb3="00000000" w:csb0="00040000" w:csb1="00000000"/>
  </w:font>
  <w:font w:name="方正小标宋简体">
    <w:altName w:val="AR PL UKai CN"/>
    <w:panose1 w:val="00000000000000000000"/>
    <w:charset w:val="34"/>
    <w:family w:val="auto"/>
    <w:pitch w:val="variable"/>
    <w:sig w:usb0="00000000" w:usb1="00000000" w:usb2="00000000" w:usb3="00000000" w:csb0="00040000" w:csb1="00000000"/>
  </w:font>
  <w:font w:name="黑体">
    <w:altName w:val="方正黑体_GBK"/>
    <w:panose1 w:val="02010600030101010101"/>
    <w:charset w:val="34"/>
    <w:family w:val="auto"/>
    <w:pitch w:val="variable"/>
    <w:sig w:usb0="800002BF" w:usb1="38CF7CFA" w:usb2="00000016" w:usb3="00000000" w:csb0="00040001" w:csb1="00000000"/>
  </w:font>
  <w:font w:name="仿宋">
    <w:altName w:val="仿宋_GB2312"/>
    <w:panose1 w:val="02010609060101010101"/>
    <w:charset w:val="34"/>
    <w:family w:val="auto"/>
    <w:pitch w:val="variable"/>
    <w:sig w:usb0="800002BF" w:usb1="38CF7CFA" w:usb2="00000016" w:usb3="00000000" w:csb0="00040001" w:csb1="0000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</w:pPr>
    <w:r>
      <w:rPr>
        <w:sz w:val="20"/>
      </w:rPr>
      <mc:AlternateContent>
        <mc:Choice Requires="wps">
          <w:drawing>
            <wp:anchor distT="0" distB="0" distL="114298" distR="114298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694" cy="133159"/>
              <wp:effectExtent l="0" t="0" r="0" b="0"/>
              <wp:wrapNone/>
              <wp:docPr id="1" name="_x0000_s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72694" cy="133159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2">
                      <w:txbxContent>
                        <w:p>
                          <w:pPr>
                            <w:pStyle w:val="16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>PAGE  \* MERGEFORMAT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ascii="Times New Roman" w:eastAsia="宋体" w:cs="Times New Roman" w:hAnsi="Times New Roman"/>
                              <w:sz w:val="21"/>
                              <w:szCs w:val="21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_x0000_s3 3" o:spid="_x0000_s3" filled="f" stroked="f" style="position:absolute;margin-left:0.0pt;margin-top:0.0pt;width:5.7239957pt;height:10.485009pt;z-index:12;mso-position-horizontal:center;mso-position-horizontal-relative:margin;mso-position-vertical:absolute;mso-wrap-distance-left:8.999863pt;mso-wrap-distance-right:8.99986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6"/>
                      <w:tabs>
                        <w:tab w:val="center" w:pos="4153"/>
                        <w:tab w:val="right" w:pos="8306"/>
                      </w:tabs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>PAGE  \* MERGEFORMAT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rPr>
                        <w:rFonts w:ascii="Times New Roman" w:eastAsia="宋体" w:cs="Times New Roman" w:hAnsi="Times New Roman"/>
                        <w:sz w:val="21"/>
                        <w:szCs w:val="21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2F000000"/>
    <w:multiLevelType w:val="hybridMultilevel"/>
    <w:tmpl w:val="1F000014"/>
    <w:lvl w:ilvl="0">
      <w:start w:val="2"/>
      <w:numFmt w:val="chineseCounting"/>
      <w:lvlRestart w:val="0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1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2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3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4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5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6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7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  <w:lvl w:ilvl="8">
      <w:start w:val="2"/>
      <w:numFmt w:val="chineseCounting"/>
      <w:suff w:val="nothing"/>
      <w:lvlText w:val="（%1）"/>
      <w:lvlJc w:val="left"/>
      <w:pPr>
        <w:tabs>
          <w:tab w:val="num" w:pos="0"/>
        </w:tabs>
        <w:ind w:left="-22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ulTrailSpace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jc w:val="both"/>
    </w:pPr>
    <w:rPr>
      <w:rFonts w:ascii="Times New Roman" w:eastAsia="宋体" w:cs="Times New Roman" w:hAnsi="Times New Roman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 Indent 2"/>
    <w:basedOn w:val="0"/>
    <w:pPr>
      <w:spacing w:after="120" w:line="480" w:lineRule="auto"/>
      <w:ind w:leftChars="419" w:left="419" w:firstLine="0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1</Pages>
  <Words>23</Words>
  <Characters>26</Characters>
  <Lines>2</Lines>
  <Paragraphs>2</Paragraphs>
  <CharactersWithSpaces>26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3</cp:revision>
  <dcterms:modified xsi:type="dcterms:W3CDTF">2021-08-27T01:09:52Z</dcterms:modified>
</cp:coreProperties>
</file>