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jc w:val="center"/>
        <w:outlineLvl w:val="0"/>
        <w:rPr>
          <w:rFonts w:ascii="仿宋_GB2312" w:eastAsia="仿宋_GB2312" w:cs="方正小标宋简体" w:hint="eastAsia"/>
          <w:b/>
          <w:sz w:val="44"/>
          <w:szCs w:val="44"/>
        </w:rPr>
      </w:pPr>
      <w:bookmarkStart w:id="0" w:name="_Toc15396616"/>
      <w:r>
        <w:rPr>
          <w:rFonts w:ascii="仿宋_GB2312" w:eastAsia="仿宋_GB2312" w:cs="方正小标宋简体" w:hint="eastAsia"/>
          <w:b/>
          <w:sz w:val="44"/>
          <w:szCs w:val="44"/>
          <w:lang w:eastAsia="zh-CN"/>
        </w:rPr>
        <w:t>黑水县红十字会</w:t>
      </w:r>
      <w:r>
        <w:rPr>
          <w:rFonts w:ascii="仿宋_GB2312" w:eastAsia="仿宋_GB2312" w:cs="方正小标宋简体" w:hint="eastAsia"/>
          <w:b/>
          <w:sz w:val="44"/>
          <w:szCs w:val="44"/>
        </w:rPr>
        <w:t>20</w:t>
      </w:r>
      <w:r>
        <w:rPr>
          <w:rFonts w:ascii="仿宋_GB2312" w:eastAsia="仿宋_GB2312" w:cs="方正小标宋简体" w:hint="eastAsia"/>
          <w:b/>
          <w:sz w:val="44"/>
          <w:szCs w:val="44"/>
          <w:lang w:val="en-US" w:eastAsia="zh-CN"/>
        </w:rPr>
        <w:t>21</w:t>
      </w:r>
      <w:r>
        <w:rPr>
          <w:rFonts w:ascii="仿宋_GB2312" w:eastAsia="仿宋_GB2312" w:cs="方正小标宋简体" w:hint="eastAsia"/>
          <w:b/>
          <w:sz w:val="44"/>
          <w:szCs w:val="44"/>
        </w:rPr>
        <w:t>年部门</w:t>
      </w:r>
    </w:p>
    <w:p>
      <w:pPr>
        <w:spacing w:line="600" w:lineRule="exact"/>
        <w:jc w:val="center"/>
        <w:outlineLvl w:val="0"/>
        <w:rPr>
          <w:rFonts w:ascii="仿宋_GB2312" w:eastAsia="仿宋_GB2312" w:cs="方正小标宋简体"/>
          <w:b/>
          <w:sz w:val="44"/>
          <w:szCs w:val="44"/>
        </w:rPr>
      </w:pPr>
      <w:r>
        <w:rPr>
          <w:rFonts w:ascii="仿宋_GB2312" w:eastAsia="仿宋_GB2312" w:cs="方正小标宋简体" w:hint="eastAsia"/>
          <w:b/>
          <w:sz w:val="44"/>
          <w:szCs w:val="44"/>
        </w:rPr>
        <w:t>整体支出绩效评价报告</w:t>
      </w:r>
      <w:bookmarkEnd w:id="0"/>
    </w:p>
    <w:p>
      <w:pPr>
        <w:spacing w:line="580" w:lineRule="exact"/>
        <w:ind w:firstLine="200"/>
        <w:rPr>
          <w:rFonts w:ascii="仿宋_GB2312" w:eastAsia="仿宋_GB2312" w:cs="黑体"/>
          <w:b/>
          <w:sz w:val="32"/>
          <w:szCs w:val="32"/>
        </w:rPr>
      </w:pPr>
    </w:p>
    <w:p>
      <w:pPr>
        <w:spacing w:line="580" w:lineRule="exact"/>
        <w:ind w:firstLineChars="260" w:firstLine="832"/>
        <w:rPr>
          <w:rFonts w:ascii="仿宋_GB2312" w:eastAsia="仿宋_GB2312" w:cs="黑体"/>
          <w:sz w:val="32"/>
          <w:szCs w:val="32"/>
        </w:rPr>
      </w:pPr>
      <w:r>
        <w:rPr>
          <w:rFonts w:ascii="仿宋_GB2312" w:eastAsia="仿宋_GB2312" w:cs="黑体" w:hint="eastAsia"/>
          <w:sz w:val="32"/>
          <w:szCs w:val="32"/>
        </w:rPr>
        <w:t>一、部门（单位）概况</w:t>
      </w:r>
    </w:p>
    <w:p>
      <w:pPr>
        <w:spacing w:line="580" w:lineRule="exact"/>
        <w:ind w:firstLineChars="260" w:firstLine="832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（一）机构组成。</w:t>
      </w:r>
    </w:p>
    <w:p>
      <w:pPr>
        <w:snapToGrid w:val="0"/>
        <w:spacing w:line="520" w:lineRule="exact"/>
        <w:ind w:left="0" w:firstLineChars="200" w:firstLine="640"/>
        <w:rPr>
          <w:rFonts w:ascii="仿宋_GB2312" w:eastAsia="仿宋_GB2312"/>
          <w:color w:val="333333"/>
          <w:sz w:val="32"/>
          <w:szCs w:val="32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本单位是县政府领导的正科级全额拨款的群团事业机构（参公），下属三个股室（办公室、财务室、项目赈济</w:t>
      </w:r>
      <w:r>
        <w:rPr>
          <w:rFonts w:ascii="仿宋_GB2312" w:eastAsia="仿宋_GB2312"/>
          <w:color w:val="333333"/>
          <w:sz w:val="32"/>
          <w:szCs w:val="32"/>
        </w:rPr>
        <w:t xml:space="preserve">）。 </w:t>
      </w:r>
    </w:p>
    <w:p>
      <w:pPr>
        <w:snapToGrid w:val="0"/>
        <w:spacing w:line="520" w:lineRule="exact"/>
        <w:ind w:left="0"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（二）</w:t>
      </w:r>
      <w:r>
        <w:rPr>
          <w:rFonts w:ascii="仿宋_GB2312" w:eastAsia="仿宋_GB2312" w:cs="仿宋_GB2312" w:hint="eastAsia"/>
          <w:sz w:val="32"/>
          <w:szCs w:val="32"/>
        </w:rPr>
        <w:t>机构职能。</w:t>
      </w:r>
    </w:p>
    <w:p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开展救灾的准备工作；普及卫生救护和防病知识、进行.</w:t>
      </w:r>
    </w:p>
    <w:p>
      <w:pPr>
        <w:ind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+初级卫生培训、组织群众参加现场救护、参与输血献血、开展其他人道主义服务活动；参与国际人道主义救援工作；依照日内瓦公约及其附加议定书的有关规定开展工作；承办县委、县政府交办的其他事项。</w:t>
      </w:r>
    </w:p>
    <w:p>
      <w:pPr>
        <w:ind w:firstLine="634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（三）</w:t>
      </w:r>
      <w:r>
        <w:rPr>
          <w:rFonts w:ascii="仿宋_GB2312" w:eastAsia="仿宋_GB2312" w:cs="仿宋_GB2312" w:hint="eastAsia"/>
          <w:sz w:val="32"/>
          <w:szCs w:val="32"/>
        </w:rPr>
        <w:t>人员概况。</w:t>
      </w:r>
    </w:p>
    <w:p>
      <w:pPr>
        <w:snapToGrid w:val="0"/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人员情况：编制数4人，本年度实有人数6人——常务副会长1名、专职副会长1名、工勤人员1名、参公管理人员3名。</w:t>
      </w:r>
    </w:p>
    <w:p>
      <w:pPr>
        <w:snapToGrid w:val="0"/>
        <w:spacing w:line="520" w:lineRule="exact"/>
        <w:ind w:firstLine="640"/>
        <w:rPr>
          <w:rFonts w:ascii="仿宋_GB2312" w:eastAsia="仿宋_GB2312" w:cs="黑体"/>
          <w:sz w:val="32"/>
          <w:szCs w:val="32"/>
        </w:rPr>
      </w:pPr>
      <w:r>
        <w:rPr>
          <w:rFonts w:ascii="仿宋_GB2312" w:eastAsia="仿宋_GB2312" w:cs="黑体" w:hint="eastAsia"/>
          <w:sz w:val="32"/>
          <w:szCs w:val="32"/>
        </w:rPr>
        <w:t>二、部门财政资金收支情况</w:t>
      </w:r>
      <w:r>
        <w:rPr>
          <w:rFonts w:ascii="仿宋_GB2312" w:eastAsia="仿宋_GB2312" w:cs="黑体"/>
          <w:sz w:val="32"/>
          <w:szCs w:val="32"/>
        </w:rPr>
        <w:t>。</w:t>
      </w:r>
    </w:p>
    <w:p>
      <w:pPr>
        <w:snapToGrid w:val="0"/>
        <w:spacing w:line="520" w:lineRule="exact"/>
        <w:ind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（一）部门财政资金收入情况。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  <w:lang w:eastAsia="zh-CN"/>
        </w:rPr>
      </w:pP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2021</w:t>
      </w:r>
      <w:r>
        <w:rPr>
          <w:rFonts w:ascii="仿宋_GB2312" w:eastAsia="仿宋_GB2312" w:hint="eastAsia"/>
          <w:color w:val="000000"/>
          <w:sz w:val="32"/>
          <w:szCs w:val="32"/>
        </w:rPr>
        <w:t>年本年收入合计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107.89</w:t>
      </w:r>
      <w:r>
        <w:rPr>
          <w:rFonts w:ascii="仿宋_GB2312" w:eastAsia="仿宋_GB2312" w:hint="eastAsia"/>
          <w:color w:val="000000"/>
          <w:sz w:val="32"/>
          <w:szCs w:val="32"/>
        </w:rPr>
        <w:t>万元，其中：一般公共预算财政拨款收入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107.89</w:t>
      </w:r>
      <w:r>
        <w:rPr>
          <w:rFonts w:ascii="仿宋_GB2312" w:eastAsia="仿宋_GB2312" w:hint="eastAsia"/>
          <w:color w:val="000000"/>
          <w:sz w:val="32"/>
          <w:szCs w:val="32"/>
        </w:rPr>
        <w:t>万元，占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100%</w:t>
      </w:r>
      <w:r>
        <w:rPr>
          <w:rFonts w:ascii="仿宋_GB2312" w:eastAsia="仿宋_GB2312" w:hint="eastAsia"/>
          <w:color w:val="000000"/>
          <w:sz w:val="32"/>
          <w:szCs w:val="32"/>
        </w:rPr>
        <w:t>；政府性基金预算财政拨款收入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0</w:t>
      </w:r>
      <w:r>
        <w:rPr>
          <w:rFonts w:ascii="仿宋_GB2312" w:eastAsia="仿宋_GB2312" w:hint="eastAsia"/>
          <w:color w:val="000000"/>
          <w:sz w:val="32"/>
          <w:szCs w:val="32"/>
        </w:rPr>
        <w:t>万元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。</w:t>
      </w:r>
    </w:p>
    <w:p>
      <w:pPr>
        <w:spacing w:line="600" w:lineRule="exact"/>
        <w:ind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（二）</w:t>
      </w:r>
      <w:r>
        <w:rPr>
          <w:rFonts w:ascii="仿宋_GB2312" w:eastAsia="仿宋_GB2312" w:cs="仿宋_GB2312" w:hint="eastAsia"/>
          <w:sz w:val="32"/>
          <w:szCs w:val="32"/>
        </w:rPr>
        <w:t>部门财政资金支出情况。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  <w:lang w:eastAsia="zh-CN"/>
        </w:rPr>
      </w:pP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2021</w:t>
      </w:r>
      <w:r>
        <w:rPr>
          <w:rFonts w:ascii="仿宋_GB2312" w:eastAsia="仿宋_GB2312" w:hint="eastAsia"/>
          <w:color w:val="000000"/>
          <w:sz w:val="32"/>
          <w:szCs w:val="32"/>
        </w:rPr>
        <w:t>年一般公共预算财政拨款支出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118.77</w:t>
      </w:r>
      <w:r>
        <w:rPr>
          <w:rFonts w:ascii="仿宋_GB2312" w:eastAsia="仿宋_GB2312" w:hint="eastAsia"/>
          <w:color w:val="000000"/>
          <w:sz w:val="32"/>
          <w:szCs w:val="32"/>
        </w:rPr>
        <w:t>万元，主要用于以下方</w:t>
      </w:r>
      <w:r>
        <w:rPr>
          <w:rFonts w:ascii="仿宋_GB2312" w:eastAsia="仿宋_GB2312" w:cs="Times New Roman" w:hint="eastAsia"/>
          <w:color w:val="000000"/>
          <w:sz w:val="32"/>
          <w:szCs w:val="32"/>
        </w:rPr>
        <w:t>面</w:t>
      </w:r>
      <w:r>
        <w:rPr>
          <w:rFonts w:ascii="仿宋_GB2312" w:eastAsia="仿宋_GB2312" w:cs="Times New Roman" w:hint="eastAsia"/>
          <w:color w:val="000000"/>
          <w:sz w:val="32"/>
          <w:szCs w:val="32"/>
          <w:lang w:eastAsia="zh-CN"/>
        </w:rPr>
        <w:t>：</w:t>
      </w:r>
      <w:r>
        <w:rPr>
          <w:rFonts w:ascii="仿宋_GB2312" w:eastAsia="仿宋_GB2312" w:cs="Times New Roman" w:hint="eastAsia"/>
          <w:color w:val="000000"/>
          <w:sz w:val="32"/>
          <w:szCs w:val="32"/>
        </w:rPr>
        <w:t>社会保障和就业（类）</w:t>
      </w:r>
      <w:r>
        <w:rPr>
          <w:rFonts w:ascii="仿宋_GB2312" w:eastAsia="仿宋_GB2312" w:hint="eastAsia"/>
          <w:color w:val="000000"/>
          <w:sz w:val="32"/>
          <w:szCs w:val="32"/>
        </w:rPr>
        <w:t>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105.58</w:t>
      </w:r>
      <w:r>
        <w:rPr>
          <w:rFonts w:ascii="仿宋_GB2312" w:eastAsia="仿宋_GB2312" w:hint="eastAsia"/>
          <w:color w:val="000000"/>
          <w:sz w:val="32"/>
          <w:szCs w:val="32"/>
        </w:rPr>
        <w:t>万元，占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88.89</w:t>
      </w:r>
      <w:r>
        <w:rPr>
          <w:rFonts w:ascii="仿宋_GB2312" w:eastAsia="仿宋_GB2312" w:hint="eastAsia"/>
          <w:color w:val="000000"/>
          <w:sz w:val="32"/>
          <w:szCs w:val="32"/>
        </w:rPr>
        <w:t>%；医疗卫生支出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4.99</w:t>
      </w:r>
      <w:r>
        <w:rPr>
          <w:rFonts w:ascii="仿宋_GB2312" w:eastAsia="仿宋_GB2312" w:hint="eastAsia"/>
          <w:color w:val="000000"/>
          <w:sz w:val="32"/>
          <w:szCs w:val="32"/>
        </w:rPr>
        <w:t>万元，占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4.2</w:t>
      </w:r>
      <w:r>
        <w:rPr>
          <w:rFonts w:ascii="仿宋_GB2312" w:eastAsia="仿宋_GB2312" w:hint="eastAsia"/>
          <w:color w:val="000000"/>
          <w:sz w:val="32"/>
          <w:szCs w:val="32"/>
        </w:rPr>
        <w:t>%；住房保障支出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8.20</w:t>
      </w:r>
      <w:r>
        <w:rPr>
          <w:rFonts w:ascii="仿宋_GB2312" w:eastAsia="仿宋_GB2312" w:hint="eastAsia"/>
          <w:color w:val="000000"/>
          <w:sz w:val="32"/>
          <w:szCs w:val="32"/>
        </w:rPr>
        <w:t>万元，占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6.9</w:t>
      </w:r>
      <w:r>
        <w:rPr>
          <w:rFonts w:ascii="仿宋_GB2312" w:eastAsia="仿宋_GB2312" w:hint="eastAsia"/>
          <w:color w:val="000000"/>
          <w:sz w:val="32"/>
          <w:szCs w:val="32"/>
        </w:rPr>
        <w:t>%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。</w:t>
      </w:r>
    </w:p>
    <w:p>
      <w:pPr>
        <w:spacing w:line="600" w:lineRule="exact"/>
        <w:ind w:firstLine="640"/>
        <w:rPr>
          <w:rFonts w:ascii="仿宋_GB2312" w:eastAsia="仿宋_GB2312" w:cs="黑体"/>
          <w:sz w:val="32"/>
          <w:szCs w:val="32"/>
        </w:rPr>
      </w:pPr>
      <w:r>
        <w:rPr>
          <w:rFonts w:ascii="仿宋_GB2312" w:eastAsia="仿宋_GB2312" w:cs="黑体" w:hint="eastAsia"/>
          <w:sz w:val="32"/>
          <w:szCs w:val="32"/>
        </w:rPr>
        <w:t>三、部门整体预算绩效管理情况（根据适用指标体系进行调整）</w:t>
      </w:r>
    </w:p>
    <w:p>
      <w:pPr>
        <w:spacing w:line="600" w:lineRule="exact"/>
        <w:ind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（一）部门预算管理。</w:t>
      </w:r>
    </w:p>
    <w:p>
      <w:pPr>
        <w:spacing w:line="600" w:lineRule="exact"/>
        <w:ind w:firstLine="640"/>
        <w:rPr>
          <w:rFonts w:asci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sz w:val="32"/>
          <w:szCs w:val="32"/>
          <w:lang w:val="zh-CN" w:eastAsia="zh-CN"/>
        </w:rPr>
        <w:t>本单位严格按照</w:t>
      </w: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县财政局“人员经费按标准，公用经费按定额”的预算原则，根据县财政局关于做好2021年财务工作预算的通知要求，客观真实编制了2021年部门预算，2021年财政资金总支出为支出118.77万元（其中基本支出118.77万元、项目支出0万元）。预算编制是我镇预算体制最基本的环节,是预算管理体制改革的核心。预算编制秉承实事求是的原则，对我镇财政支出做出合理规划，对财政管理体制的完善、活动范围的合理界定、监督和约束都具有重要作用。</w:t>
      </w:r>
    </w:p>
    <w:p>
      <w:pPr>
        <w:spacing w:line="600" w:lineRule="exact"/>
        <w:ind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（二）专项预算管理。</w:t>
      </w:r>
    </w:p>
    <w:p>
      <w:pPr>
        <w:spacing w:line="600" w:lineRule="exact"/>
        <w:ind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包括专项预算项目程序严密、规划合理、结果符合、分配科学、分配及时、专项预算绩效目标完成、实施绩效、违规记录等情况。</w:t>
      </w:r>
    </w:p>
    <w:p>
      <w:pPr>
        <w:spacing w:line="580" w:lineRule="exact"/>
        <w:ind w:left="0"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（三）结果应用情况。</w:t>
      </w:r>
    </w:p>
    <w:p>
      <w:pPr>
        <w:spacing w:line="580" w:lineRule="exact"/>
        <w:ind w:left="0"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包括部门自评质量、绩效目标公开和自评公开、评价结果整改和应用结果反馈等情况。</w:t>
      </w:r>
    </w:p>
    <w:p>
      <w:pPr>
        <w:spacing w:line="580" w:lineRule="exact"/>
        <w:ind w:firstLineChars="260" w:firstLine="832"/>
        <w:rPr>
          <w:rFonts w:ascii="仿宋_GB2312" w:eastAsia="仿宋_GB2312" w:cs="黑体"/>
          <w:sz w:val="32"/>
          <w:szCs w:val="32"/>
        </w:rPr>
      </w:pPr>
      <w:r>
        <w:rPr>
          <w:rFonts w:ascii="仿宋_GB2312" w:eastAsia="仿宋_GB2312" w:cs="黑体" w:hint="eastAsia"/>
          <w:sz w:val="32"/>
          <w:szCs w:val="32"/>
        </w:rPr>
        <w:t>四、评价结论及建议</w:t>
      </w:r>
    </w:p>
    <w:p>
      <w:pPr>
        <w:spacing w:line="580" w:lineRule="exact"/>
        <w:ind w:left="0"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（一）评价结论。</w:t>
      </w:r>
    </w:p>
    <w:p>
      <w:pPr>
        <w:spacing w:line="360" w:lineRule="auto"/>
        <w:ind w:firstLine="645"/>
        <w:jc w:val="left"/>
        <w:rPr>
          <w:rFonts w:ascii="仿宋" w:eastAsia="仿宋"/>
          <w:color w:val="000000"/>
          <w:sz w:val="32"/>
          <w:szCs w:val="32"/>
        </w:rPr>
      </w:pPr>
      <w:r>
        <w:rPr>
          <w:rFonts w:ascii="仿宋" w:eastAsia="仿宋" w:hint="eastAsia"/>
          <w:color w:val="000000"/>
          <w:sz w:val="32"/>
          <w:szCs w:val="32"/>
        </w:rPr>
        <w:t>按照国家政策法规规定，结合本部门的实际情况，建立健全了财务管理制度和约束机制，依法、有效地使用财政资金，提高财政资金使用效率，合理分配人、财、物，完成了部门职能目标，实现了较高的工作效率和支出绩效</w:t>
      </w:r>
      <w:r>
        <w:rPr>
          <w:rFonts w:ascii="仿宋" w:eastAsia="仿宋" w:hint="eastAsia"/>
          <w:color w:val="000000"/>
          <w:sz w:val="32"/>
          <w:szCs w:val="32"/>
          <w:lang w:eastAsia="zh-CN"/>
        </w:rPr>
        <w:t>。</w:t>
      </w:r>
      <w:r>
        <w:rPr>
          <w:rFonts w:ascii="仿宋" w:eastAsia="仿宋" w:hint="eastAsia"/>
          <w:color w:val="000000"/>
          <w:sz w:val="32"/>
          <w:szCs w:val="32"/>
        </w:rPr>
        <w:t>结合评价得分评价结果为良好。</w:t>
      </w:r>
      <w:bookmarkStart w:id="1" w:name="_GoBack"/>
      <w:bookmarkEnd w:id="1"/>
    </w:p>
    <w:p>
      <w:pPr>
        <w:spacing w:line="360" w:lineRule="auto"/>
        <w:ind w:firstLine="645"/>
        <w:jc w:val="left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" w:eastAsia="仿宋"/>
          <w:color w:val="000000"/>
          <w:sz w:val="32"/>
          <w:szCs w:val="32"/>
        </w:rPr>
        <w:t>（二）</w:t>
      </w:r>
      <w:r>
        <w:rPr>
          <w:rFonts w:ascii="仿宋_GB2312" w:eastAsia="仿宋_GB2312" w:cs="仿宋_GB2312" w:hint="eastAsia"/>
          <w:sz w:val="32"/>
          <w:szCs w:val="32"/>
        </w:rPr>
        <w:t>存在问题。</w:t>
      </w:r>
    </w:p>
    <w:p>
      <w:pPr>
        <w:spacing w:line="580" w:lineRule="exact"/>
        <w:ind w:right="0" w:firstLineChars="200" w:firstLine="640"/>
      </w:pP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财务公开与监督建设有待进一步提高。</w:t>
      </w:r>
    </w:p>
    <w:p>
      <w:pPr>
        <w:spacing w:line="580" w:lineRule="exact"/>
        <w:ind w:left="0"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（三）</w:t>
      </w:r>
      <w:r>
        <w:rPr>
          <w:rFonts w:ascii="仿宋_GB2312" w:eastAsia="仿宋_GB2312" w:cs="仿宋_GB2312" w:hint="eastAsia"/>
          <w:sz w:val="32"/>
          <w:szCs w:val="32"/>
        </w:rPr>
        <w:t>改进建议。</w:t>
      </w:r>
    </w:p>
    <w:p>
      <w:pPr>
        <w:spacing w:line="580" w:lineRule="exact"/>
        <w:ind w:left="0" w:right="0" w:firstLineChars="210" w:firstLine="675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加强资金的管理，在公共运行维护资金的使用范围上严格把关，按照规定进行公示。</w:t>
      </w:r>
    </w:p>
    <w:p>
      <w:pPr>
        <w:spacing w:line="580" w:lineRule="exact"/>
        <w:ind w:firstLineChars="200" w:firstLine="640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我们将进一步重视预算的编制工作，提高预算编制的精确度，提高财政资金使用效率，尽量减少预算执行调整、结转和结余注销的情形。</w:t>
      </w:r>
    </w:p>
    <w:p>
      <w:pPr>
        <w:pStyle w:val="15"/>
        <w:ind w:leftChars="0" w:left="0" w:right="0" w:firstLine="0"/>
        <w:rPr>
          <w:rFonts w:ascii="仿宋_GB2312" w:eastAsia="仿宋_GB2312" w:hint="eastAsia"/>
        </w:rPr>
      </w:pP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</w:p>
    <w:p>
      <w:pPr>
        <w:jc w:val="left"/>
        <w:rPr>
          <w:rFonts w:asci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_GB2312">
    <w:altName w:val="Ã¤Â»Â¿Ã¥Â®Â"/>
    <w:panose1 w:val="02010609030101010101"/>
    <w:charset w:val="52"/>
    <w:family w:val="modern"/>
    <w:pitch w:val="variable"/>
    <w:sig w:usb0="00000000" w:usb1="00000000" w:usb2="00000010" w:usb3="00000000" w:csb0="00040000" w:csb1="00000000"/>
  </w:font>
  <w:font w:name="方正小标宋简体">
    <w:altName w:val="Ã©Â»ÂÃ¤Â½Â"/>
    <w:panose1 w:val="00000000000000000000"/>
    <w:charset w:val="52"/>
    <w:family w:val="auto"/>
    <w:pitch w:val="variable"/>
    <w:sig w:usb0="00000000" w:usb1="00000000" w:usb2="00000000" w:usb3="00000000" w:csb0="00040000" w:csb1="00000000"/>
  </w:font>
  <w:font w:name="黑体">
    <w:panose1 w:val="02010609060101010101"/>
    <w:charset w:val="52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52"/>
    <w:family w:val="auto"/>
    <w:pitch w:val="variable"/>
    <w:sig w:usb0="E0002AFF" w:usb1="C0007841" w:usb2="00000009" w:usb3="00000000" w:csb0="400001FF" w:csb1="FFFF0000"/>
  </w:font>
  <w:font w:name="仿宋">
    <w:panose1 w:val="02010609060101010101"/>
    <w:charset w:val="52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34"/>
    <w:family w:val="auto"/>
    <w:pitch w:val="variable"/>
    <w:sig w:usb0="00000003" w:usb1="288F0000" w:usb2="0000000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ulTrailSpace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jc w:val="both"/>
    </w:pPr>
    <w:rPr>
      <w:rFonts w:ascii="Times New Roman" w:eastAsia="宋体" w:cs="Times New Roman" w:hAnsi="Times New Roman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 Indent 2"/>
    <w:basedOn w:val="0"/>
    <w:pPr>
      <w:spacing w:after="120" w:line="480" w:lineRule="auto"/>
      <w:ind w:leftChars="419" w:left="419" w:firstLine="0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Yozo_Office27021597764231179</Application>
  <Pages>3</Pages>
  <Words>1051</Words>
  <Characters>1121</Characters>
  <Lines>63</Lines>
  <Paragraphs>30</Paragraphs>
  <CharactersWithSpaces>1122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3</cp:revision>
  <dcterms:modified xsi:type="dcterms:W3CDTF">2022-08-19T02:48:29Z</dcterms:modified>
</cp:coreProperties>
</file>