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黑水县疾病预防控制中心</w:t>
      </w:r>
    </w:p>
    <w:p>
      <w:pPr>
        <w:jc w:val="center"/>
        <w:rPr>
          <w:rFonts w:hint="eastAsia" w:ascii="仿宋" w:hAnsi="仿宋" w:eastAsia="仿宋" w:cs="仿宋"/>
          <w:b/>
          <w:bCs/>
          <w:sz w:val="44"/>
          <w:szCs w:val="44"/>
          <w:highlight w:val="none"/>
        </w:rPr>
      </w:pPr>
      <w:r>
        <w:rPr>
          <w:rFonts w:hint="eastAsia" w:ascii="仿宋" w:hAnsi="仿宋" w:eastAsia="仿宋" w:cs="仿宋"/>
          <w:b/>
          <w:bCs/>
          <w:kern w:val="2"/>
          <w:sz w:val="44"/>
          <w:szCs w:val="44"/>
          <w:highlight w:val="none"/>
          <w:lang w:val="en-US" w:eastAsia="zh-CN" w:bidi="ar-SA"/>
        </w:rPr>
        <w:t>2021年新型冠状病毒管理经费</w:t>
      </w:r>
      <w:r>
        <w:rPr>
          <w:rFonts w:hint="eastAsia" w:ascii="仿宋" w:hAnsi="仿宋" w:eastAsia="仿宋" w:cs="仿宋"/>
          <w:b/>
          <w:bCs/>
          <w:sz w:val="44"/>
          <w:szCs w:val="44"/>
          <w:highlight w:val="none"/>
        </w:rPr>
        <w:t>支出</w:t>
      </w:r>
    </w:p>
    <w:p>
      <w:pPr>
        <w:jc w:val="center"/>
        <w:rPr>
          <w:rFonts w:hint="eastAsia" w:ascii="仿宋" w:hAnsi="仿宋" w:eastAsia="仿宋" w:cs="仿宋"/>
          <w:b/>
          <w:bCs/>
          <w:szCs w:val="36"/>
          <w:highlight w:val="none"/>
        </w:rPr>
      </w:pPr>
      <w:r>
        <w:rPr>
          <w:rFonts w:hint="eastAsia" w:ascii="仿宋" w:hAnsi="仿宋" w:eastAsia="仿宋" w:cs="仿宋"/>
          <w:b/>
          <w:bCs/>
          <w:sz w:val="44"/>
          <w:szCs w:val="44"/>
          <w:highlight w:val="none"/>
        </w:rPr>
        <w:t>绩效评价报告</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一、</w:t>
      </w:r>
      <w:r>
        <w:rPr>
          <w:rFonts w:hint="eastAsia" w:ascii="黑体" w:hAnsi="黑体" w:eastAsia="黑体" w:cs="黑体"/>
          <w:b w:val="0"/>
          <w:bCs w:val="0"/>
          <w:sz w:val="28"/>
          <w:szCs w:val="28"/>
          <w:highlight w:val="none"/>
        </w:rPr>
        <w:t>项目基本情况</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rPr>
      </w:pPr>
      <w:r>
        <w:rPr>
          <w:rFonts w:hint="eastAsia" w:ascii="楷体" w:hAnsi="楷体" w:eastAsia="楷体" w:cs="楷体"/>
          <w:b w:val="0"/>
          <w:bCs/>
          <w:sz w:val="28"/>
          <w:szCs w:val="28"/>
          <w:highlight w:val="none"/>
        </w:rPr>
        <w:t>（一）项目实施单位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hint="eastAsia" w:ascii="仿宋" w:hAnsi="仿宋" w:eastAsia="仿宋" w:cs="仿宋"/>
          <w:bCs/>
          <w:sz w:val="28"/>
          <w:szCs w:val="28"/>
          <w:highlight w:val="none"/>
        </w:rPr>
      </w:pPr>
      <w:r>
        <w:rPr>
          <w:rFonts w:hint="eastAsia" w:ascii="仿宋" w:hAnsi="仿宋" w:eastAsia="仿宋" w:cs="仿宋"/>
          <w:b w:val="0"/>
          <w:bCs w:val="0"/>
          <w:sz w:val="28"/>
          <w:szCs w:val="28"/>
          <w:highlight w:val="none"/>
          <w:lang w:val="en-US" w:eastAsia="zh-CN"/>
        </w:rPr>
        <w:t>黑水县疾病预防控制中心</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取得黑水县事业单位登记管理局事业单位法人证书，统一社会信用代码：125132284526081480G</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宗旨和业务范围：负责实施对疾病控制，开展食品、职业、环境、学校等五大卫生监测，防病检验及预防性健康检查等工作；住所</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黑水县</w:t>
      </w:r>
      <w:r>
        <w:rPr>
          <w:rFonts w:hint="eastAsia" w:ascii="仿宋" w:hAnsi="仿宋" w:eastAsia="仿宋" w:cs="仿宋"/>
          <w:bCs/>
          <w:sz w:val="28"/>
          <w:szCs w:val="28"/>
          <w:highlight w:val="none"/>
          <w:lang w:val="en-US" w:eastAsia="zh-CN"/>
        </w:rPr>
        <w:t>芦花镇胜利路9号。</w:t>
      </w:r>
    </w:p>
    <w:p>
      <w:pPr>
        <w:keepNext w:val="0"/>
        <w:keepLines w:val="0"/>
        <w:pageBreakBefore w:val="0"/>
        <w:numPr>
          <w:ilvl w:val="0"/>
          <w:numId w:val="1"/>
        </w:numPr>
        <w:kinsoku/>
        <w:wordWrap/>
        <w:topLinePunct w:val="0"/>
        <w:bidi w:val="0"/>
        <w:snapToGrid/>
        <w:spacing w:line="480" w:lineRule="exact"/>
        <w:ind w:firstLine="642"/>
        <w:textAlignment w:val="auto"/>
        <w:outlineLvl w:val="0"/>
        <w:rPr>
          <w:rFonts w:hint="default" w:ascii="楷体" w:hAnsi="楷体" w:eastAsia="楷体" w:cs="楷体"/>
          <w:b w:val="0"/>
          <w:bCs/>
          <w:sz w:val="28"/>
          <w:szCs w:val="28"/>
          <w:highlight w:val="none"/>
        </w:rPr>
      </w:pPr>
      <w:r>
        <w:rPr>
          <w:rFonts w:hint="default" w:ascii="楷体" w:hAnsi="楷体" w:eastAsia="楷体" w:cs="楷体"/>
          <w:b w:val="0"/>
          <w:bCs/>
          <w:sz w:val="28"/>
          <w:szCs w:val="28"/>
          <w:highlight w:val="none"/>
        </w:rPr>
        <w:t>项目概况</w:t>
      </w:r>
    </w:p>
    <w:p>
      <w:pPr>
        <w:pStyle w:val="2"/>
        <w:widowControl/>
        <w:spacing w:line="480" w:lineRule="exact"/>
        <w:ind w:firstLine="560" w:firstLineChars="200"/>
        <w:jc w:val="both"/>
        <w:rPr>
          <w:rFonts w:hint="eastAsia" w:ascii="仿宋" w:hAnsi="仿宋" w:eastAsia="仿宋" w:cs="仿宋"/>
          <w:kern w:val="2"/>
          <w:sz w:val="28"/>
          <w:szCs w:val="28"/>
        </w:rPr>
      </w:pPr>
      <w:r>
        <w:rPr>
          <w:rFonts w:hint="eastAsia" w:ascii="仿宋_GB2312" w:hAnsi="仿宋_GB2312" w:eastAsia="仿宋_GB2312" w:cs="仿宋_GB2312"/>
          <w:sz w:val="28"/>
          <w:szCs w:val="28"/>
        </w:rPr>
        <w:t>我中心2</w:t>
      </w:r>
      <w:r>
        <w:rPr>
          <w:rFonts w:hint="eastAsia" w:ascii="仿宋_GB2312" w:hAnsi="仿宋_GB2312" w:eastAsia="仿宋_GB2312" w:cs="仿宋_GB2312"/>
          <w:sz w:val="28"/>
          <w:szCs w:val="28"/>
          <w:lang w:val="en-US" w:eastAsia="zh-CN"/>
        </w:rPr>
        <w:t>021</w:t>
      </w:r>
      <w:r>
        <w:rPr>
          <w:rFonts w:hint="eastAsia" w:ascii="仿宋_GB2312" w:hAnsi="仿宋_GB2312" w:eastAsia="仿宋_GB2312" w:cs="仿宋_GB2312"/>
          <w:sz w:val="28"/>
          <w:szCs w:val="28"/>
        </w:rPr>
        <w:t>年</w:t>
      </w:r>
      <w:r>
        <w:rPr>
          <w:rFonts w:hint="eastAsia" w:ascii="仿宋" w:hAnsi="仿宋" w:eastAsia="仿宋" w:cs="仿宋"/>
          <w:b w:val="0"/>
          <w:bCs w:val="0"/>
          <w:sz w:val="28"/>
          <w:szCs w:val="28"/>
          <w:highlight w:val="none"/>
          <w:lang w:val="zh-CN" w:eastAsia="zh-CN"/>
        </w:rPr>
        <w:t>新冠肺炎病毒检测试剂经费</w:t>
      </w:r>
      <w:r>
        <w:rPr>
          <w:rFonts w:hint="eastAsia" w:ascii="仿宋_GB2312" w:hAnsi="仿宋_GB2312" w:eastAsia="仿宋_GB2312" w:cs="仿宋_GB2312"/>
          <w:sz w:val="28"/>
          <w:szCs w:val="28"/>
        </w:rPr>
        <w:t>支出共计</w:t>
      </w:r>
      <w:r>
        <w:rPr>
          <w:rFonts w:hint="eastAsia" w:ascii="仿宋_GB2312" w:hAnsi="仿宋_GB2312" w:eastAsia="仿宋_GB2312" w:cs="仿宋_GB2312"/>
          <w:sz w:val="28"/>
          <w:szCs w:val="28"/>
          <w:lang w:val="en-US" w:eastAsia="zh-CN"/>
        </w:rPr>
        <w:t>43.86</w:t>
      </w:r>
      <w:r>
        <w:rPr>
          <w:rFonts w:hint="eastAsia" w:ascii="仿宋_GB2312" w:hAnsi="仿宋_GB2312" w:eastAsia="仿宋_GB2312" w:cs="仿宋_GB2312"/>
          <w:sz w:val="28"/>
          <w:szCs w:val="28"/>
        </w:rPr>
        <w:t>万元，项目及实施内容主要为疫情防控及办公经费，</w:t>
      </w:r>
      <w:r>
        <w:rPr>
          <w:rFonts w:hint="eastAsia" w:ascii="仿宋" w:hAnsi="仿宋" w:eastAsia="仿宋" w:cs="仿宋"/>
          <w:kern w:val="2"/>
          <w:sz w:val="28"/>
          <w:szCs w:val="28"/>
        </w:rPr>
        <w:t>总计到位资金</w:t>
      </w:r>
      <w:r>
        <w:rPr>
          <w:rFonts w:hint="eastAsia" w:ascii="仿宋" w:hAnsi="仿宋" w:eastAsia="仿宋" w:cs="仿宋"/>
          <w:kern w:val="2"/>
          <w:sz w:val="28"/>
          <w:szCs w:val="28"/>
          <w:lang w:val="en-US" w:eastAsia="zh-CN"/>
        </w:rPr>
        <w:t>67.00</w:t>
      </w:r>
      <w:r>
        <w:rPr>
          <w:rFonts w:hint="eastAsia" w:ascii="仿宋" w:hAnsi="仿宋" w:eastAsia="仿宋" w:cs="仿宋"/>
          <w:kern w:val="2"/>
          <w:sz w:val="28"/>
          <w:szCs w:val="28"/>
        </w:rPr>
        <w:t>万元，支出率达</w:t>
      </w:r>
      <w:r>
        <w:rPr>
          <w:rFonts w:hint="eastAsia" w:ascii="仿宋" w:hAnsi="仿宋" w:eastAsia="仿宋" w:cs="仿宋"/>
          <w:kern w:val="2"/>
          <w:sz w:val="28"/>
          <w:szCs w:val="28"/>
          <w:lang w:val="en-US" w:eastAsia="zh-CN"/>
        </w:rPr>
        <w:t>65</w:t>
      </w:r>
      <w:r>
        <w:rPr>
          <w:rFonts w:hint="eastAsia" w:ascii="仿宋" w:hAnsi="仿宋" w:eastAsia="仿宋" w:cs="仿宋"/>
          <w:kern w:val="2"/>
          <w:sz w:val="28"/>
          <w:szCs w:val="28"/>
        </w:rPr>
        <w:t>%。</w:t>
      </w:r>
    </w:p>
    <w:p>
      <w:pPr>
        <w:spacing w:line="480" w:lineRule="exact"/>
        <w:ind w:firstLine="562" w:firstLineChars="200"/>
        <w:outlineLvl w:val="0"/>
        <w:rPr>
          <w:rFonts w:hint="eastAsia" w:ascii="仿宋" w:hAnsi="仿宋" w:eastAsia="仿宋" w:cs="仿宋"/>
          <w:sz w:val="28"/>
          <w:szCs w:val="28"/>
        </w:rPr>
      </w:pPr>
      <w:r>
        <w:rPr>
          <w:rFonts w:hint="eastAsia" w:ascii="仿宋_GB2312" w:hAnsi="仿宋_GB2312" w:eastAsia="仿宋_GB2312" w:cs="仿宋_GB2312"/>
          <w:b/>
          <w:bCs/>
          <w:sz w:val="28"/>
          <w:szCs w:val="28"/>
        </w:rPr>
        <w:t>二、评价工作开展情况</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我中心于</w:t>
      </w:r>
      <w:r>
        <w:rPr>
          <w:rFonts w:hint="eastAsia" w:ascii="仿宋" w:hAnsi="仿宋" w:eastAsia="仿宋" w:cs="仿宋"/>
          <w:sz w:val="28"/>
          <w:szCs w:val="28"/>
          <w:lang w:val="en-US" w:eastAsia="zh-CN"/>
        </w:rPr>
        <w:t>2021</w:t>
      </w:r>
      <w:r>
        <w:rPr>
          <w:rFonts w:hint="eastAsia" w:ascii="仿宋" w:hAnsi="仿宋" w:eastAsia="仿宋" w:cs="仿宋"/>
          <w:sz w:val="28"/>
          <w:szCs w:val="28"/>
        </w:rPr>
        <w:t>年12月</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b w:val="0"/>
          <w:bCs w:val="0"/>
          <w:sz w:val="28"/>
          <w:szCs w:val="28"/>
          <w:highlight w:val="none"/>
          <w:lang w:val="zh-CN" w:eastAsia="zh-CN"/>
        </w:rPr>
        <w:t>新冠肺炎病毒检测试剂</w:t>
      </w:r>
      <w:r>
        <w:rPr>
          <w:rFonts w:hint="eastAsia" w:ascii="仿宋" w:hAnsi="仿宋" w:eastAsia="仿宋" w:cs="仿宋"/>
          <w:sz w:val="28"/>
          <w:szCs w:val="28"/>
        </w:rPr>
        <w:t>经费绩效进行了绩效自评。</w:t>
      </w:r>
    </w:p>
    <w:p>
      <w:pPr>
        <w:tabs>
          <w:tab w:val="left" w:pos="1276"/>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评价方式主要为项目基本情况，通过收集项目文件资料、设计调查问卷，主要评价过程如下：</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1.结合项目实施单位绩效自评报告，了解专项资金的基本情况，听取项目实施情况介绍；</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2.现场调查取证，查看项目实施情况，核查项目资金收支账目，检查补贴申请及审批、公示公告等相关资料，为整个评价指标体系评分收集基础数据；</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.对资金使用效益评分，分析、检验项目资金的使用是否实现绩效目标；</w:t>
      </w:r>
    </w:p>
    <w:p>
      <w:pPr>
        <w:numPr>
          <w:ilvl w:val="0"/>
          <w:numId w:val="2"/>
        </w:numPr>
        <w:spacing w:line="480" w:lineRule="exact"/>
        <w:ind w:firstLine="562" w:firstLineChars="200"/>
        <w:outlineLvl w:val="0"/>
        <w:rPr>
          <w:rFonts w:eastAsia="仿宋_GB2312"/>
          <w:b/>
          <w:sz w:val="28"/>
          <w:szCs w:val="28"/>
        </w:rPr>
      </w:pPr>
      <w:r>
        <w:rPr>
          <w:rFonts w:eastAsia="仿宋_GB2312"/>
          <w:b/>
          <w:sz w:val="28"/>
          <w:szCs w:val="28"/>
        </w:rPr>
        <w:t>现场评价抽样选点情况</w:t>
      </w:r>
    </w:p>
    <w:p>
      <w:pPr>
        <w:spacing w:line="48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本项目现场评价抽样选点抽取了芦花镇，对其进行实地调查；调查表明，该项目均已按规定实施，基本实现了实施方案设计的目标。</w:t>
      </w:r>
    </w:p>
    <w:p>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（二）项目总体评价</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0"/>
        <w:rPr>
          <w:rFonts w:hint="eastAsia" w:ascii="仿宋" w:hAnsi="仿宋" w:eastAsia="仿宋" w:cs="仿宋"/>
          <w:b w:val="0"/>
          <w:bCs w:val="0"/>
          <w:sz w:val="28"/>
          <w:szCs w:val="28"/>
          <w:highlight w:val="none"/>
          <w:lang w:val="zh-CN" w:eastAsia="zh-CN"/>
        </w:rPr>
      </w:pPr>
      <w:r>
        <w:rPr>
          <w:rFonts w:hint="eastAsia" w:ascii="仿宋" w:hAnsi="仿宋" w:eastAsia="仿宋" w:cs="仿宋"/>
          <w:b w:val="0"/>
          <w:bCs w:val="0"/>
          <w:sz w:val="28"/>
          <w:szCs w:val="28"/>
          <w:highlight w:val="none"/>
          <w:lang w:val="zh-CN" w:eastAsia="zh-CN"/>
        </w:rPr>
        <w:t>项目绩效评价总体得分为</w:t>
      </w:r>
      <w:r>
        <w:rPr>
          <w:rFonts w:hint="eastAsia" w:ascii="仿宋" w:hAnsi="仿宋" w:eastAsia="仿宋" w:cs="仿宋"/>
          <w:b w:val="0"/>
          <w:bCs w:val="0"/>
          <w:sz w:val="28"/>
          <w:szCs w:val="28"/>
          <w:highlight w:val="none"/>
          <w:lang w:val="en-US" w:eastAsia="zh-CN"/>
        </w:rPr>
        <w:t>89.5</w:t>
      </w:r>
      <w:r>
        <w:rPr>
          <w:rFonts w:hint="eastAsia" w:ascii="仿宋" w:hAnsi="仿宋" w:eastAsia="仿宋" w:cs="仿宋"/>
          <w:b w:val="0"/>
          <w:bCs w:val="0"/>
          <w:sz w:val="28"/>
          <w:szCs w:val="28"/>
          <w:highlight w:val="none"/>
          <w:lang w:val="zh-CN" w:eastAsia="zh-CN"/>
        </w:rPr>
        <w:t>，其中：项目决策方面总分</w:t>
      </w:r>
      <w:r>
        <w:rPr>
          <w:rFonts w:hint="eastAsia" w:ascii="仿宋" w:hAnsi="仿宋" w:eastAsia="仿宋" w:cs="仿宋"/>
          <w:b w:val="0"/>
          <w:bCs w:val="0"/>
          <w:sz w:val="28"/>
          <w:szCs w:val="28"/>
          <w:highlight w:val="none"/>
          <w:lang w:val="en-US" w:eastAsia="zh-CN"/>
        </w:rPr>
        <w:t>12</w:t>
      </w:r>
      <w:r>
        <w:rPr>
          <w:rFonts w:hint="eastAsia" w:ascii="仿宋" w:hAnsi="仿宋" w:eastAsia="仿宋" w:cs="仿宋"/>
          <w:b w:val="0"/>
          <w:bCs w:val="0"/>
          <w:sz w:val="28"/>
          <w:szCs w:val="28"/>
          <w:highlight w:val="none"/>
          <w:lang w:val="zh-CN" w:eastAsia="zh-CN"/>
        </w:rPr>
        <w:t>分，评价得分</w:t>
      </w:r>
      <w:r>
        <w:rPr>
          <w:rFonts w:hint="eastAsia" w:ascii="仿宋" w:hAnsi="仿宋" w:eastAsia="仿宋" w:cs="仿宋"/>
          <w:b w:val="0"/>
          <w:bCs w:val="0"/>
          <w:sz w:val="28"/>
          <w:szCs w:val="28"/>
          <w:highlight w:val="none"/>
          <w:lang w:val="en-US" w:eastAsia="zh-CN"/>
        </w:rPr>
        <w:t>12</w:t>
      </w:r>
      <w:r>
        <w:rPr>
          <w:rFonts w:hint="eastAsia" w:ascii="仿宋" w:hAnsi="仿宋" w:eastAsia="仿宋" w:cs="仿宋"/>
          <w:b w:val="0"/>
          <w:bCs w:val="0"/>
          <w:sz w:val="28"/>
          <w:szCs w:val="28"/>
          <w:highlight w:val="none"/>
          <w:lang w:val="zh-CN" w:eastAsia="zh-CN"/>
        </w:rPr>
        <w:t>分；项目</w:t>
      </w:r>
      <w:r>
        <w:rPr>
          <w:rFonts w:hint="eastAsia" w:ascii="仿宋" w:hAnsi="仿宋" w:eastAsia="仿宋" w:cs="仿宋"/>
          <w:b w:val="0"/>
          <w:bCs w:val="0"/>
          <w:sz w:val="28"/>
          <w:szCs w:val="28"/>
          <w:highlight w:val="none"/>
          <w:lang w:val="en-US" w:eastAsia="zh-CN"/>
        </w:rPr>
        <w:t>实施</w:t>
      </w:r>
      <w:r>
        <w:rPr>
          <w:rFonts w:hint="eastAsia" w:ascii="仿宋" w:hAnsi="仿宋" w:eastAsia="仿宋" w:cs="仿宋"/>
          <w:b w:val="0"/>
          <w:bCs w:val="0"/>
          <w:sz w:val="28"/>
          <w:szCs w:val="28"/>
          <w:highlight w:val="none"/>
          <w:lang w:val="zh-CN" w:eastAsia="zh-CN"/>
        </w:rPr>
        <w:t>方面总分</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lang w:val="zh-CN" w:eastAsia="zh-CN"/>
        </w:rPr>
        <w:t>分，评价得分</w:t>
      </w: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lang w:val="zh-CN" w:eastAsia="zh-CN"/>
        </w:rPr>
        <w:t>分；完成结果方面总分</w:t>
      </w:r>
      <w:r>
        <w:rPr>
          <w:rFonts w:hint="eastAsia" w:ascii="仿宋" w:hAnsi="仿宋" w:eastAsia="仿宋" w:cs="仿宋"/>
          <w:b w:val="0"/>
          <w:bCs w:val="0"/>
          <w:sz w:val="28"/>
          <w:szCs w:val="28"/>
          <w:highlight w:val="none"/>
          <w:lang w:val="en-US" w:eastAsia="zh-CN"/>
        </w:rPr>
        <w:t>17</w:t>
      </w:r>
      <w:r>
        <w:rPr>
          <w:rFonts w:hint="eastAsia" w:ascii="仿宋" w:hAnsi="仿宋" w:eastAsia="仿宋" w:cs="仿宋"/>
          <w:b w:val="0"/>
          <w:bCs w:val="0"/>
          <w:sz w:val="28"/>
          <w:szCs w:val="28"/>
          <w:highlight w:val="none"/>
          <w:lang w:val="zh-CN" w:eastAsia="zh-CN"/>
        </w:rPr>
        <w:t>分，评价得分</w:t>
      </w:r>
      <w:r>
        <w:rPr>
          <w:rFonts w:hint="eastAsia" w:ascii="仿宋" w:hAnsi="仿宋" w:eastAsia="仿宋" w:cs="仿宋"/>
          <w:b w:val="0"/>
          <w:bCs w:val="0"/>
          <w:sz w:val="28"/>
          <w:szCs w:val="28"/>
          <w:highlight w:val="none"/>
          <w:lang w:val="en-US" w:eastAsia="zh-CN"/>
        </w:rPr>
        <w:t>12</w:t>
      </w:r>
      <w:r>
        <w:rPr>
          <w:rFonts w:hint="eastAsia" w:ascii="仿宋" w:hAnsi="仿宋" w:eastAsia="仿宋" w:cs="仿宋"/>
          <w:b w:val="0"/>
          <w:bCs w:val="0"/>
          <w:sz w:val="28"/>
          <w:szCs w:val="28"/>
          <w:highlight w:val="none"/>
          <w:lang w:val="zh-CN" w:eastAsia="zh-CN"/>
        </w:rPr>
        <w:t>分；项目</w:t>
      </w:r>
      <w:r>
        <w:rPr>
          <w:rFonts w:hint="eastAsia" w:ascii="仿宋" w:hAnsi="仿宋" w:eastAsia="仿宋" w:cs="仿宋"/>
          <w:b w:val="0"/>
          <w:bCs w:val="0"/>
          <w:sz w:val="28"/>
          <w:szCs w:val="28"/>
          <w:highlight w:val="none"/>
          <w:lang w:val="en-US" w:eastAsia="zh-CN"/>
        </w:rPr>
        <w:t>效果</w:t>
      </w:r>
      <w:r>
        <w:rPr>
          <w:rFonts w:hint="eastAsia" w:ascii="仿宋" w:hAnsi="仿宋" w:eastAsia="仿宋" w:cs="仿宋"/>
          <w:b w:val="0"/>
          <w:bCs w:val="0"/>
          <w:sz w:val="28"/>
          <w:szCs w:val="28"/>
          <w:highlight w:val="none"/>
          <w:lang w:val="zh-CN" w:eastAsia="zh-CN"/>
        </w:rPr>
        <w:t>方面总分</w:t>
      </w:r>
      <w:r>
        <w:rPr>
          <w:rFonts w:hint="eastAsia" w:ascii="仿宋" w:hAnsi="仿宋" w:eastAsia="仿宋" w:cs="仿宋"/>
          <w:b w:val="0"/>
          <w:bCs w:val="0"/>
          <w:sz w:val="28"/>
          <w:szCs w:val="28"/>
          <w:highlight w:val="none"/>
          <w:lang w:val="en-US" w:eastAsia="zh-CN"/>
        </w:rPr>
        <w:t>20</w:t>
      </w:r>
      <w:r>
        <w:rPr>
          <w:rFonts w:hint="eastAsia" w:ascii="仿宋" w:hAnsi="仿宋" w:eastAsia="仿宋" w:cs="仿宋"/>
          <w:b w:val="0"/>
          <w:bCs w:val="0"/>
          <w:sz w:val="28"/>
          <w:szCs w:val="28"/>
          <w:highlight w:val="none"/>
          <w:lang w:val="zh-CN" w:eastAsia="zh-CN"/>
        </w:rPr>
        <w:t>分，评价得分</w:t>
      </w:r>
      <w:r>
        <w:rPr>
          <w:rFonts w:hint="eastAsia" w:ascii="仿宋" w:hAnsi="仿宋" w:eastAsia="仿宋" w:cs="仿宋"/>
          <w:b w:val="0"/>
          <w:bCs w:val="0"/>
          <w:sz w:val="28"/>
          <w:szCs w:val="28"/>
          <w:highlight w:val="none"/>
          <w:lang w:val="en-US" w:eastAsia="zh-CN"/>
        </w:rPr>
        <w:t>20分；</w:t>
      </w:r>
      <w:r>
        <w:rPr>
          <w:rFonts w:hint="eastAsia" w:ascii="仿宋" w:hAnsi="仿宋" w:eastAsia="仿宋" w:cs="仿宋"/>
          <w:b w:val="0"/>
          <w:bCs w:val="0"/>
          <w:sz w:val="28"/>
          <w:szCs w:val="28"/>
          <w:highlight w:val="none"/>
          <w:lang w:val="zh-CN" w:eastAsia="zh-CN"/>
        </w:rPr>
        <w:t>项目</w:t>
      </w:r>
      <w:r>
        <w:rPr>
          <w:rFonts w:hint="eastAsia" w:ascii="仿宋" w:hAnsi="仿宋" w:eastAsia="仿宋" w:cs="仿宋"/>
          <w:b w:val="0"/>
          <w:bCs w:val="0"/>
          <w:sz w:val="28"/>
          <w:szCs w:val="28"/>
          <w:highlight w:val="none"/>
          <w:lang w:val="en-US" w:eastAsia="zh-CN"/>
        </w:rPr>
        <w:t>绩效</w:t>
      </w:r>
      <w:r>
        <w:rPr>
          <w:rFonts w:hint="eastAsia" w:ascii="仿宋" w:hAnsi="仿宋" w:eastAsia="仿宋" w:cs="仿宋"/>
          <w:b w:val="0"/>
          <w:bCs w:val="0"/>
          <w:sz w:val="28"/>
          <w:szCs w:val="28"/>
          <w:highlight w:val="none"/>
          <w:lang w:val="zh-CN" w:eastAsia="zh-CN"/>
        </w:rPr>
        <w:t>方面总分</w:t>
      </w:r>
      <w:r>
        <w:rPr>
          <w:rFonts w:hint="eastAsia" w:ascii="仿宋" w:hAnsi="仿宋" w:eastAsia="仿宋" w:cs="仿宋"/>
          <w:b w:val="0"/>
          <w:bCs w:val="0"/>
          <w:sz w:val="28"/>
          <w:szCs w:val="28"/>
          <w:highlight w:val="none"/>
          <w:lang w:val="en-US" w:eastAsia="zh-CN"/>
        </w:rPr>
        <w:t>40</w:t>
      </w:r>
      <w:r>
        <w:rPr>
          <w:rFonts w:hint="eastAsia" w:ascii="仿宋" w:hAnsi="仿宋" w:eastAsia="仿宋" w:cs="仿宋"/>
          <w:b w:val="0"/>
          <w:bCs w:val="0"/>
          <w:sz w:val="28"/>
          <w:szCs w:val="28"/>
          <w:highlight w:val="none"/>
          <w:lang w:val="zh-CN" w:eastAsia="zh-CN"/>
        </w:rPr>
        <w:t>分，评价得分</w:t>
      </w:r>
      <w:r>
        <w:rPr>
          <w:rFonts w:hint="eastAsia" w:ascii="仿宋" w:hAnsi="仿宋" w:eastAsia="仿宋" w:cs="仿宋"/>
          <w:b w:val="0"/>
          <w:bCs w:val="0"/>
          <w:sz w:val="28"/>
          <w:szCs w:val="28"/>
          <w:highlight w:val="none"/>
          <w:lang w:val="en-US" w:eastAsia="zh-CN"/>
        </w:rPr>
        <w:t>36.5分</w:t>
      </w:r>
      <w:r>
        <w:rPr>
          <w:rFonts w:hint="eastAsia" w:ascii="仿宋" w:hAnsi="仿宋" w:eastAsia="仿宋" w:cs="仿宋"/>
          <w:b w:val="0"/>
          <w:bCs w:val="0"/>
          <w:sz w:val="28"/>
          <w:szCs w:val="28"/>
          <w:highlight w:val="none"/>
          <w:lang w:val="zh-CN" w:eastAsia="zh-CN"/>
        </w:rPr>
        <w:t>。具体情况详见下表：</w:t>
      </w:r>
    </w:p>
    <w:tbl>
      <w:tblPr>
        <w:tblStyle w:val="3"/>
        <w:tblW w:w="9510" w:type="dxa"/>
        <w:tblInd w:w="0" w:type="dxa"/>
        <w:tblLayout w:type="fixed"/>
        <w:tblCellMar>
          <w:top w:w="0" w:type="dxa"/>
          <w:left w:w="0" w:type="dxa"/>
          <w:bottom w:w="0" w:type="dxa"/>
          <w:right w:w="0" w:type="dxa"/>
        </w:tblCellMar>
      </w:tblPr>
      <w:tblGrid>
        <w:gridCol w:w="576"/>
        <w:gridCol w:w="945"/>
        <w:gridCol w:w="945"/>
        <w:gridCol w:w="3810"/>
        <w:gridCol w:w="510"/>
        <w:gridCol w:w="480"/>
        <w:gridCol w:w="2244"/>
      </w:tblGrid>
      <w:tr>
        <w:tblPrEx>
          <w:tblCellMar>
            <w:top w:w="0" w:type="dxa"/>
            <w:left w:w="0" w:type="dxa"/>
            <w:bottom w:w="0" w:type="dxa"/>
            <w:right w:w="0" w:type="dxa"/>
          </w:tblCellMar>
        </w:tblPrEx>
        <w:trPr>
          <w:trHeight w:val="27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分值权重</w:t>
            </w:r>
          </w:p>
        </w:tc>
        <w:tc>
          <w:tcPr>
            <w:tcW w:w="57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预算绩效指标</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w:t>
            </w: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评价得分</w:t>
            </w:r>
          </w:p>
        </w:tc>
        <w:tc>
          <w:tcPr>
            <w:tcW w:w="22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扣分原因</w:t>
            </w:r>
          </w:p>
        </w:tc>
      </w:tr>
      <w:tr>
        <w:tblPrEx>
          <w:tblCellMar>
            <w:top w:w="0" w:type="dxa"/>
            <w:left w:w="0" w:type="dxa"/>
            <w:bottom w:w="0" w:type="dxa"/>
            <w:right w:w="0" w:type="dxa"/>
          </w:tblCellMar>
        </w:tblPrEx>
        <w:trPr>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一级指标</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二级指标</w:t>
            </w:r>
          </w:p>
        </w:tc>
        <w:tc>
          <w:tcPr>
            <w:tcW w:w="3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三级指标</w:t>
            </w: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3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440" w:hRule="atLeast"/>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12%</w:t>
            </w:r>
          </w:p>
          <w:p>
            <w:pPr>
              <w:keepNext w:val="0"/>
              <w:keepLines w:val="0"/>
              <w:widowControl/>
              <w:suppressLineNumbers w:val="0"/>
              <w:jc w:val="both"/>
              <w:textAlignment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项目决策</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程序严密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03"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220"/>
              </w:tabs>
              <w:jc w:val="left"/>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规划合理</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项目规划是否符合省委、省政府重大决策部署，是否与项目年度目标一致</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078"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制度完备</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项目指导意见、管理办法、申报指南、实施细则等管理制度是否完善，是否存在脱离实际、缺陷、漏洞导致执行偏离预期</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670" w:hRule="atLeast"/>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 xml:space="preserve">  11%</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分配合理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项目资金分配结果是否与规划计划一致；是否按规定及时分配专项预算资金</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lang w:eastAsia="zh-CN"/>
              </w:rPr>
              <w:t>因实际需求量与预算需求量的差异性，导致自己使用计划与实际完成进度不一</w:t>
            </w:r>
          </w:p>
        </w:tc>
      </w:tr>
      <w:tr>
        <w:tblPrEx>
          <w:tblCellMar>
            <w:top w:w="0" w:type="dxa"/>
            <w:left w:w="0" w:type="dxa"/>
            <w:bottom w:w="0" w:type="dxa"/>
            <w:right w:w="0" w:type="dxa"/>
          </w:tblCellMar>
        </w:tblPrEx>
        <w:trPr>
          <w:trHeight w:val="734"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使用合规</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项目资金使用是否符合相关的财务管理制度规定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54" w:hRule="atLeast"/>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执行有效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项目实施是否符合相关管理制度规定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 xml:space="preserve">  17%</w:t>
            </w:r>
          </w:p>
        </w:tc>
        <w:tc>
          <w:tcPr>
            <w:tcW w:w="9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完成结果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预算完成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项目资金拨付到具体支持对象企业、项目（人）的情况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780"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目标完成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项目实施后是否完成预期目标</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试剂、耗材实际使用与预期需求有所差距</w:t>
            </w:r>
          </w:p>
        </w:tc>
      </w:tr>
      <w:tr>
        <w:tblPrEx>
          <w:tblCellMar>
            <w:top w:w="0" w:type="dxa"/>
            <w:left w:w="0" w:type="dxa"/>
            <w:bottom w:w="0" w:type="dxa"/>
            <w:right w:w="0" w:type="dxa"/>
          </w:tblCellMar>
        </w:tblPrEx>
        <w:trPr>
          <w:trHeight w:val="1228"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完成及时</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项目实际完成时间与计划完成时间的比较，用以反映和考核项目产出实效目标的实现程度</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因实际需求量与预算需求量的差异性，导致自己使用计划与实际完成进度不一</w:t>
            </w:r>
          </w:p>
        </w:tc>
      </w:tr>
      <w:tr>
        <w:tblPrEx>
          <w:tblCellMar>
            <w:top w:w="0" w:type="dxa"/>
            <w:left w:w="0" w:type="dxa"/>
            <w:bottom w:w="0" w:type="dxa"/>
            <w:right w:w="0" w:type="dxa"/>
          </w:tblCellMar>
        </w:tblPrEx>
        <w:trPr>
          <w:trHeight w:val="950" w:hRule="atLeast"/>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75"/>
              </w:tabs>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违规记录</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项目管理是否合规</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20%</w:t>
            </w:r>
          </w:p>
        </w:tc>
        <w:tc>
          <w:tcPr>
            <w:tcW w:w="94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项目效果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75"/>
              </w:tabs>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区域均衡性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项目资金分配体现的均衡公平情况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75"/>
              </w:tabs>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对象公平性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项目资金分配结果是否公平合理，是否充分考虑地域条件、经济条件等</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75"/>
              </w:tabs>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社会满意度</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相关群体满意度调查情况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40%</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项目绩效</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完成数量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项目资金支付使用情况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6.5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项目共计下达资金</w:t>
            </w:r>
            <w:r>
              <w:rPr>
                <w:rFonts w:hint="eastAsia" w:ascii="仿宋" w:hAnsi="仿宋" w:eastAsia="仿宋" w:cs="仿宋"/>
                <w:b w:val="0"/>
                <w:bCs/>
                <w:i w:val="0"/>
                <w:color w:val="000000"/>
                <w:sz w:val="22"/>
                <w:szCs w:val="22"/>
                <w:u w:val="none"/>
                <w:lang w:val="en-US" w:eastAsia="zh-CN"/>
              </w:rPr>
              <w:t>67</w:t>
            </w:r>
            <w:r>
              <w:rPr>
                <w:rFonts w:hint="eastAsia" w:ascii="仿宋" w:hAnsi="仿宋" w:eastAsia="仿宋" w:cs="仿宋"/>
                <w:b w:val="0"/>
                <w:bCs/>
                <w:i w:val="0"/>
                <w:color w:val="000000"/>
                <w:sz w:val="22"/>
                <w:szCs w:val="22"/>
                <w:u w:val="none"/>
              </w:rPr>
              <w:t>.00万元，合计支出</w:t>
            </w:r>
            <w:r>
              <w:rPr>
                <w:rFonts w:hint="eastAsia" w:ascii="仿宋" w:hAnsi="仿宋" w:eastAsia="仿宋" w:cs="仿宋"/>
                <w:b w:val="0"/>
                <w:bCs/>
                <w:i w:val="0"/>
                <w:color w:val="000000"/>
                <w:sz w:val="22"/>
                <w:szCs w:val="22"/>
                <w:u w:val="none"/>
                <w:lang w:val="en-US" w:eastAsia="zh-CN"/>
              </w:rPr>
              <w:t>438635.10</w:t>
            </w:r>
            <w:r>
              <w:rPr>
                <w:rFonts w:hint="eastAsia" w:ascii="仿宋" w:hAnsi="仿宋" w:eastAsia="仿宋" w:cs="仿宋"/>
                <w:b w:val="0"/>
                <w:bCs/>
                <w:i w:val="0"/>
                <w:color w:val="000000"/>
                <w:sz w:val="22"/>
                <w:szCs w:val="22"/>
                <w:u w:val="none"/>
              </w:rPr>
              <w:t>元，占项目预算的</w:t>
            </w:r>
            <w:r>
              <w:rPr>
                <w:rFonts w:hint="eastAsia" w:ascii="仿宋" w:hAnsi="仿宋" w:eastAsia="仿宋" w:cs="仿宋"/>
                <w:b w:val="0"/>
                <w:bCs/>
                <w:i w:val="0"/>
                <w:color w:val="000000"/>
                <w:sz w:val="22"/>
                <w:szCs w:val="22"/>
                <w:u w:val="none"/>
                <w:lang w:val="en-US" w:eastAsia="zh-CN"/>
              </w:rPr>
              <w:t>65.47</w:t>
            </w:r>
            <w:r>
              <w:rPr>
                <w:rFonts w:hint="eastAsia" w:ascii="仿宋" w:hAnsi="仿宋" w:eastAsia="仿宋" w:cs="仿宋"/>
                <w:b w:val="0"/>
                <w:bCs/>
                <w:i w:val="0"/>
                <w:color w:val="000000"/>
                <w:sz w:val="22"/>
                <w:szCs w:val="22"/>
                <w:u w:val="none"/>
              </w:rPr>
              <w:t>%。</w:t>
            </w:r>
          </w:p>
        </w:tc>
      </w:tr>
      <w:tr>
        <w:tblPrEx>
          <w:tblCellMar>
            <w:top w:w="0" w:type="dxa"/>
            <w:left w:w="0" w:type="dxa"/>
            <w:bottom w:w="0" w:type="dxa"/>
            <w:right w:w="0"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完成质量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反映区域内居民健康状况改善情况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完成时效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完成成本</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trPr>
        <w:tc>
          <w:tcPr>
            <w:tcW w:w="62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89.5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 w:val="0"/>
                <w:bCs/>
                <w:i w:val="0"/>
                <w:color w:val="000000"/>
                <w:sz w:val="22"/>
                <w:szCs w:val="22"/>
                <w:u w:val="none"/>
              </w:rPr>
            </w:pPr>
          </w:p>
        </w:tc>
      </w:tr>
    </w:tbl>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eastAsia="仿宋_GB2312" w:cs="Times New Roman"/>
          <w:b/>
          <w:bCs/>
          <w:sz w:val="28"/>
          <w:szCs w:val="28"/>
          <w:highlight w:val="none"/>
          <w:lang w:val="zh-CN" w:eastAsia="zh-CN"/>
        </w:rPr>
      </w:pPr>
      <w:r>
        <w:rPr>
          <w:rFonts w:hint="eastAsia" w:ascii="仿宋" w:hAnsi="仿宋" w:eastAsia="仿宋" w:cs="仿宋"/>
          <w:b w:val="0"/>
          <w:bCs w:val="0"/>
          <w:sz w:val="28"/>
          <w:szCs w:val="28"/>
          <w:highlight w:val="none"/>
          <w:lang w:val="zh-CN" w:eastAsia="zh-CN"/>
        </w:rPr>
        <w:t xml:space="preserve">总体上看，被评价项目财政支出目标明确、具体，决策程序科学、有效，项目管理较为完善，项目目标和效果基本达成。通过 </w:t>
      </w:r>
      <w:r>
        <w:rPr>
          <w:rFonts w:hint="eastAsia" w:ascii="仿宋" w:hAnsi="仿宋" w:eastAsia="仿宋" w:cs="仿宋"/>
          <w:b w:val="0"/>
          <w:bCs w:val="0"/>
          <w:sz w:val="28"/>
          <w:szCs w:val="28"/>
          <w:highlight w:val="none"/>
          <w:lang w:val="en-US" w:eastAsia="zh-CN"/>
        </w:rPr>
        <w:t>17</w:t>
      </w:r>
      <w:r>
        <w:rPr>
          <w:rFonts w:hint="eastAsia" w:ascii="仿宋" w:hAnsi="仿宋" w:eastAsia="仿宋" w:cs="仿宋"/>
          <w:b w:val="0"/>
          <w:bCs w:val="0"/>
          <w:sz w:val="28"/>
          <w:szCs w:val="28"/>
          <w:highlight w:val="none"/>
          <w:lang w:val="zh-CN" w:eastAsia="zh-CN"/>
        </w:rPr>
        <w:t xml:space="preserve">个三级指标的考评汇总分析，综合分值 </w:t>
      </w:r>
      <w:r>
        <w:rPr>
          <w:rFonts w:hint="eastAsia" w:ascii="仿宋" w:hAnsi="仿宋" w:eastAsia="仿宋" w:cs="仿宋"/>
          <w:b w:val="0"/>
          <w:bCs w:val="0"/>
          <w:sz w:val="28"/>
          <w:szCs w:val="28"/>
          <w:highlight w:val="none"/>
          <w:lang w:val="en-US" w:eastAsia="zh-CN"/>
        </w:rPr>
        <w:t>89.5</w:t>
      </w:r>
      <w:r>
        <w:rPr>
          <w:rFonts w:hint="eastAsia" w:ascii="仿宋" w:hAnsi="仿宋" w:eastAsia="仿宋" w:cs="仿宋"/>
          <w:b w:val="0"/>
          <w:bCs w:val="0"/>
          <w:sz w:val="28"/>
          <w:szCs w:val="28"/>
          <w:highlight w:val="none"/>
          <w:lang w:val="zh-CN" w:eastAsia="zh-CN"/>
        </w:rPr>
        <w:t>分。</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（二）项目决策</w:t>
      </w:r>
      <w:bookmarkStart w:id="0" w:name="_GoBack"/>
      <w:bookmarkEnd w:id="0"/>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zh-CN" w:eastAsia="zh-CN"/>
        </w:rPr>
      </w:pPr>
      <w:r>
        <w:rPr>
          <w:rFonts w:hint="eastAsia" w:ascii="仿宋" w:hAnsi="仿宋" w:eastAsia="仿宋" w:cs="仿宋"/>
          <w:b w:val="0"/>
          <w:bCs w:val="0"/>
          <w:sz w:val="28"/>
          <w:szCs w:val="28"/>
          <w:highlight w:val="none"/>
          <w:lang w:val="zh-CN" w:eastAsia="zh-CN"/>
        </w:rPr>
        <w:t>新冠肺炎项目资金使用经过事前评估，符合资金使用的基本规范和程序要求</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val="zh-CN" w:eastAsia="zh-CN"/>
        </w:rPr>
        <w:t>项目资金属于公共财政支持范围，符合地方事权支出责任划分原则；符合省委、省政府重大决策部署和宏观政策规划，项目年度绩效目标与中长期规划一致。样本评价中，规划与现实需求匹配；资金相关管理制度机制健全完善，在项目执行过程中，不存在管理制度有悖于实际的情况，不存在难以操作、无法落地、执行不畅的情况，新冠资金满足实际需求。</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（三）项目实施</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zh-CN" w:eastAsia="zh-CN"/>
        </w:rPr>
      </w:pPr>
      <w:r>
        <w:rPr>
          <w:rFonts w:hint="eastAsia" w:ascii="仿宋" w:hAnsi="仿宋" w:eastAsia="仿宋" w:cs="仿宋"/>
          <w:b w:val="0"/>
          <w:bCs w:val="0"/>
          <w:sz w:val="28"/>
          <w:szCs w:val="28"/>
          <w:highlight w:val="none"/>
          <w:lang w:val="zh-CN" w:eastAsia="zh-CN"/>
        </w:rPr>
        <w:t>通过对实施完成情况与规划计划情况进行对比，以及资金分配方向与规划计划支持方向进行对比；新冠疫情资金完成情况与计划情况、资金分配方向与规划计划支持方向一致。</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（四）完成结果</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zh-CN" w:eastAsia="zh-CN"/>
        </w:rPr>
      </w:pPr>
      <w:r>
        <w:rPr>
          <w:rFonts w:hint="eastAsia" w:ascii="仿宋" w:hAnsi="仿宋" w:eastAsia="仿宋" w:cs="仿宋"/>
          <w:b w:val="0"/>
          <w:bCs w:val="0"/>
          <w:sz w:val="28"/>
          <w:szCs w:val="28"/>
          <w:highlight w:val="none"/>
          <w:lang w:val="zh-CN" w:eastAsia="zh-CN"/>
        </w:rPr>
        <w:t>项目完成预期目标，实际完成时间与计划完成时间一致，审计监督、财政检查结果反映专项管理合规。</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（五）项目效果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
          <w:sz w:val="28"/>
          <w:szCs w:val="28"/>
          <w:highlight w:val="none"/>
          <w:lang w:val="zh-CN"/>
        </w:rPr>
      </w:pPr>
      <w:r>
        <w:rPr>
          <w:rFonts w:hint="eastAsia" w:ascii="仿宋" w:hAnsi="仿宋" w:eastAsia="仿宋" w:cs="仿宋"/>
          <w:b w:val="0"/>
          <w:bCs w:val="0"/>
          <w:sz w:val="28"/>
          <w:szCs w:val="28"/>
          <w:highlight w:val="none"/>
          <w:lang w:val="en-US" w:eastAsia="zh-CN"/>
        </w:rPr>
        <w:t>新冠肺炎疫情防控资金主要用于应对流行病学调查、核酸采样和检测工作，以及常态化环境、冷链食品等，受益群体广且不特定，但整体来说，受益群体对此次疫情防控的实施表示满意。</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（六）项目绩效</w:t>
      </w:r>
    </w:p>
    <w:p>
      <w:pPr>
        <w:numPr>
          <w:ilvl w:val="0"/>
          <w:numId w:val="0"/>
        </w:numPr>
        <w:adjustRightInd w:val="0"/>
        <w:snapToGrid w:val="0"/>
        <w:spacing w:line="600" w:lineRule="exact"/>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1.完成数量</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新冠肺炎项目到位资金67.00万元，合计支出43.86万元，占项目预算的65.47%。</w:t>
      </w:r>
    </w:p>
    <w:p>
      <w:pPr>
        <w:numPr>
          <w:ilvl w:val="0"/>
          <w:numId w:val="0"/>
        </w:numPr>
        <w:adjustRightInd w:val="0"/>
        <w:snapToGrid w:val="0"/>
        <w:spacing w:line="600" w:lineRule="exact"/>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2.完成质量</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被评价项目按照</w:t>
      </w:r>
      <w:r>
        <w:rPr>
          <w:rFonts w:hint="eastAsia" w:ascii="仿宋" w:hAnsi="仿宋" w:eastAsia="仿宋" w:cs="仿宋"/>
          <w:b w:val="0"/>
          <w:bCs w:val="0"/>
          <w:sz w:val="28"/>
          <w:szCs w:val="28"/>
          <w:highlight w:val="none"/>
          <w:lang w:val="zh-CN" w:eastAsia="zh-CN"/>
        </w:rPr>
        <w:t>《关于解决黑水疾病预防控制中心新冠肺炎病毒检测试剂经费的请示》（黑卫健〔</w:t>
      </w:r>
      <w:r>
        <w:rPr>
          <w:rFonts w:hint="eastAsia" w:ascii="仿宋" w:hAnsi="仿宋" w:eastAsia="仿宋" w:cs="仿宋"/>
          <w:b w:val="0"/>
          <w:bCs w:val="0"/>
          <w:sz w:val="28"/>
          <w:szCs w:val="28"/>
          <w:highlight w:val="none"/>
          <w:lang w:val="en-US" w:eastAsia="zh-CN"/>
        </w:rPr>
        <w:t>2021</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5号</w:t>
      </w:r>
      <w:r>
        <w:rPr>
          <w:rFonts w:hint="eastAsia" w:ascii="仿宋" w:hAnsi="仿宋" w:eastAsia="仿宋" w:cs="仿宋"/>
          <w:b w:val="0"/>
          <w:bCs w:val="0"/>
          <w:sz w:val="28"/>
          <w:szCs w:val="28"/>
          <w:highlight w:val="none"/>
          <w:lang w:val="zh-CN" w:eastAsia="zh-CN"/>
        </w:rPr>
        <w:t>）、《黑水县卫生健康局关于解决县疾控中心新冠肺炎疫情防控和新冠核酸实验室运转经费的请示》（黑卫健〔</w:t>
      </w:r>
      <w:r>
        <w:rPr>
          <w:rFonts w:hint="eastAsia" w:ascii="仿宋" w:hAnsi="仿宋" w:eastAsia="仿宋" w:cs="仿宋"/>
          <w:b w:val="0"/>
          <w:bCs w:val="0"/>
          <w:sz w:val="28"/>
          <w:szCs w:val="28"/>
          <w:highlight w:val="none"/>
          <w:lang w:val="en-US" w:eastAsia="zh-CN"/>
        </w:rPr>
        <w:t>2021</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52号</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文件要求使用资金，完成质量好。</w:t>
      </w:r>
    </w:p>
    <w:p>
      <w:pPr>
        <w:numPr>
          <w:ilvl w:val="0"/>
          <w:numId w:val="0"/>
        </w:numPr>
        <w:adjustRightInd w:val="0"/>
        <w:snapToGrid w:val="0"/>
        <w:spacing w:line="600" w:lineRule="exact"/>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3.完成时效</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项目资金下达后，疾控中心按照</w:t>
      </w:r>
      <w:r>
        <w:rPr>
          <w:rFonts w:hint="eastAsia" w:ascii="仿宋" w:hAnsi="仿宋" w:eastAsia="仿宋" w:cs="仿宋"/>
          <w:b w:val="0"/>
          <w:bCs w:val="0"/>
          <w:sz w:val="28"/>
          <w:szCs w:val="28"/>
          <w:highlight w:val="none"/>
          <w:lang w:val="zh-CN" w:eastAsia="zh-CN"/>
        </w:rPr>
        <w:t>《关于解决黑水疾病预防控制中心新冠肺炎病毒检测试剂经费的请示》（黑卫健〔</w:t>
      </w:r>
      <w:r>
        <w:rPr>
          <w:rFonts w:hint="eastAsia" w:ascii="仿宋" w:hAnsi="仿宋" w:eastAsia="仿宋" w:cs="仿宋"/>
          <w:b w:val="0"/>
          <w:bCs w:val="0"/>
          <w:sz w:val="28"/>
          <w:szCs w:val="28"/>
          <w:highlight w:val="none"/>
          <w:lang w:val="en-US" w:eastAsia="zh-CN"/>
        </w:rPr>
        <w:t>2021</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5号</w:t>
      </w:r>
      <w:r>
        <w:rPr>
          <w:rFonts w:hint="eastAsia" w:ascii="仿宋" w:hAnsi="仿宋" w:eastAsia="仿宋" w:cs="仿宋"/>
          <w:b w:val="0"/>
          <w:bCs w:val="0"/>
          <w:sz w:val="28"/>
          <w:szCs w:val="28"/>
          <w:highlight w:val="none"/>
          <w:lang w:val="zh-CN" w:eastAsia="zh-CN"/>
        </w:rPr>
        <w:t>）、《黑水县卫生健康局关于解决县疾控中心新冠肺炎疫情防控和新冠核酸实验室运转经费的请示》（黑卫健〔</w:t>
      </w:r>
      <w:r>
        <w:rPr>
          <w:rFonts w:hint="eastAsia" w:ascii="仿宋" w:hAnsi="仿宋" w:eastAsia="仿宋" w:cs="仿宋"/>
          <w:b w:val="0"/>
          <w:bCs w:val="0"/>
          <w:sz w:val="28"/>
          <w:szCs w:val="28"/>
          <w:highlight w:val="none"/>
          <w:lang w:val="en-US" w:eastAsia="zh-CN"/>
        </w:rPr>
        <w:t>2021</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52号</w:t>
      </w:r>
      <w:r>
        <w:rPr>
          <w:rFonts w:hint="eastAsia" w:ascii="仿宋" w:hAnsi="仿宋" w:eastAsia="仿宋" w:cs="仿宋"/>
          <w:b w:val="0"/>
          <w:bCs w:val="0"/>
          <w:sz w:val="28"/>
          <w:szCs w:val="28"/>
          <w:highlight w:val="none"/>
          <w:lang w:val="zh-CN" w:eastAsia="zh-CN"/>
        </w:rPr>
        <w:t>）</w:t>
      </w:r>
      <w:r>
        <w:rPr>
          <w:rFonts w:hint="eastAsia" w:ascii="仿宋" w:hAnsi="仿宋" w:eastAsia="仿宋" w:cs="仿宋"/>
          <w:b w:val="0"/>
          <w:bCs w:val="0"/>
          <w:sz w:val="28"/>
          <w:szCs w:val="28"/>
          <w:highlight w:val="none"/>
          <w:lang w:val="en-US" w:eastAsia="zh-CN"/>
        </w:rPr>
        <w:t>文件要求使用资金，完成及时。</w:t>
      </w:r>
    </w:p>
    <w:p>
      <w:pPr>
        <w:numPr>
          <w:ilvl w:val="0"/>
          <w:numId w:val="0"/>
        </w:numPr>
        <w:adjustRightInd w:val="0"/>
        <w:snapToGrid w:val="0"/>
        <w:spacing w:line="600" w:lineRule="exact"/>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4.完成成本</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被评价项目到位资金67.00万元，合计支出43.86万元。</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四、问题及建议</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（一）存在的问题</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zh-CN" w:eastAsia="zh-CN"/>
        </w:rPr>
        <w:t>预算需求量与实际需求量之间存在一些差异，资金使用率未达</w:t>
      </w:r>
      <w:r>
        <w:rPr>
          <w:rFonts w:hint="eastAsia" w:ascii="仿宋" w:hAnsi="仿宋" w:eastAsia="仿宋" w:cs="仿宋"/>
          <w:b w:val="0"/>
          <w:bCs w:val="0"/>
          <w:sz w:val="28"/>
          <w:szCs w:val="28"/>
          <w:highlight w:val="none"/>
          <w:lang w:val="en-US" w:eastAsia="zh-CN"/>
        </w:rPr>
        <w:t>100%。</w:t>
      </w:r>
    </w:p>
    <w:p>
      <w:pPr>
        <w:keepNext w:val="0"/>
        <w:keepLines w:val="0"/>
        <w:pageBreakBefore w:val="0"/>
        <w:kinsoku/>
        <w:wordWrap/>
        <w:topLinePunct w:val="0"/>
        <w:bidi w:val="0"/>
        <w:snapToGrid/>
        <w:spacing w:line="480" w:lineRule="exact"/>
        <w:ind w:firstLine="642"/>
        <w:textAlignment w:val="auto"/>
        <w:outlineLvl w:val="0"/>
        <w:rPr>
          <w:rFonts w:hint="eastAsia" w:ascii="楷体" w:hAnsi="楷体" w:eastAsia="楷体" w:cs="楷体"/>
          <w:b w:val="0"/>
          <w:bCs/>
          <w:sz w:val="28"/>
          <w:szCs w:val="28"/>
          <w:highlight w:val="none"/>
          <w:lang w:val="zh-CN" w:eastAsia="zh-CN"/>
        </w:rPr>
      </w:pPr>
      <w:r>
        <w:rPr>
          <w:rFonts w:hint="eastAsia" w:ascii="楷体" w:hAnsi="楷体" w:eastAsia="楷体" w:cs="楷体"/>
          <w:b w:val="0"/>
          <w:bCs/>
          <w:sz w:val="28"/>
          <w:szCs w:val="28"/>
          <w:highlight w:val="none"/>
          <w:lang w:val="zh-CN" w:eastAsia="zh-CN"/>
        </w:rPr>
        <w:t>（二）相关建议</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zh-CN" w:eastAsia="zh-CN"/>
        </w:rPr>
        <w:t>制定资金使用计划，按月、按季度推进资金使用，落实主体责任，</w:t>
      </w:r>
      <w:r>
        <w:rPr>
          <w:rFonts w:hint="eastAsia" w:ascii="仿宋" w:hAnsi="仿宋" w:eastAsia="仿宋" w:cs="仿宋"/>
          <w:b w:val="0"/>
          <w:bCs w:val="0"/>
          <w:sz w:val="28"/>
          <w:szCs w:val="28"/>
          <w:highlight w:val="none"/>
          <w:lang w:val="en-US" w:eastAsia="zh-CN"/>
        </w:rPr>
        <w:t>切实做到责任分工，责任到人。</w:t>
      </w: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eastAsia" w:ascii="仿宋" w:hAnsi="仿宋" w:eastAsia="仿宋" w:cs="仿宋"/>
          <w:b w:val="0"/>
          <w:bCs w:val="0"/>
          <w:sz w:val="28"/>
          <w:szCs w:val="28"/>
          <w:highlight w:val="none"/>
          <w:lang w:val="en-US" w:eastAsia="zh-CN"/>
        </w:rPr>
      </w:pPr>
    </w:p>
    <w:p>
      <w:pPr>
        <w:keepNext w:val="0"/>
        <w:keepLines w:val="0"/>
        <w:pageBreakBefore w:val="0"/>
        <w:numPr>
          <w:ilvl w:val="0"/>
          <w:numId w:val="0"/>
        </w:numPr>
        <w:kinsoku/>
        <w:wordWrap/>
        <w:topLinePunct w:val="0"/>
        <w:bidi w:val="0"/>
        <w:snapToGrid/>
        <w:spacing w:line="480" w:lineRule="exact"/>
        <w:ind w:firstLine="560" w:firstLineChars="200"/>
        <w:textAlignment w:val="auto"/>
        <w:outlineLvl w:val="0"/>
        <w:rPr>
          <w:rFonts w:hint="default" w:ascii="仿宋" w:hAnsi="仿宋" w:eastAsia="仿宋" w:cs="仿宋"/>
          <w:b w:val="0"/>
          <w:bCs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21A8F"/>
    <w:multiLevelType w:val="singleLevel"/>
    <w:tmpl w:val="A6921A8F"/>
    <w:lvl w:ilvl="0" w:tentative="0">
      <w:start w:val="2"/>
      <w:numFmt w:val="chineseCounting"/>
      <w:suff w:val="nothing"/>
      <w:lvlText w:val="（%1）"/>
      <w:lvlJc w:val="left"/>
      <w:rPr>
        <w:rFonts w:hint="eastAsia"/>
      </w:rPr>
    </w:lvl>
  </w:abstractNum>
  <w:abstractNum w:abstractNumId="1">
    <w:nsid w:val="B1B88D16"/>
    <w:multiLevelType w:val="singleLevel"/>
    <w:tmpl w:val="B1B88D1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ZmU5YWNkYjQ4MTQ3YTcxMzUyYzQwMTkwNDIxZTIifQ=="/>
  </w:docVars>
  <w:rsids>
    <w:rsidRoot w:val="00000000"/>
    <w:rsid w:val="06955424"/>
    <w:rsid w:val="07F94451"/>
    <w:rsid w:val="0EE84FA8"/>
    <w:rsid w:val="138B61FF"/>
    <w:rsid w:val="1BA75DFF"/>
    <w:rsid w:val="1D622F67"/>
    <w:rsid w:val="24AE58D9"/>
    <w:rsid w:val="2672288F"/>
    <w:rsid w:val="26E431A7"/>
    <w:rsid w:val="27514612"/>
    <w:rsid w:val="2DC135C9"/>
    <w:rsid w:val="2ED67E49"/>
    <w:rsid w:val="324867EE"/>
    <w:rsid w:val="34BF2E1A"/>
    <w:rsid w:val="360821B1"/>
    <w:rsid w:val="38312021"/>
    <w:rsid w:val="3CEF53A3"/>
    <w:rsid w:val="3CF92E8A"/>
    <w:rsid w:val="3D1E069A"/>
    <w:rsid w:val="3D7E0B5D"/>
    <w:rsid w:val="3F435BAC"/>
    <w:rsid w:val="45440EBA"/>
    <w:rsid w:val="4C097917"/>
    <w:rsid w:val="4C8524E4"/>
    <w:rsid w:val="4D720CBA"/>
    <w:rsid w:val="4E8624B3"/>
    <w:rsid w:val="4FF260E2"/>
    <w:rsid w:val="54E63CB6"/>
    <w:rsid w:val="57B36D09"/>
    <w:rsid w:val="58F544B6"/>
    <w:rsid w:val="5EF318B9"/>
    <w:rsid w:val="60822866"/>
    <w:rsid w:val="64226104"/>
    <w:rsid w:val="6428323E"/>
    <w:rsid w:val="67650873"/>
    <w:rsid w:val="6EAA32F9"/>
    <w:rsid w:val="706D3238"/>
    <w:rsid w:val="73B31E51"/>
    <w:rsid w:val="762E59F9"/>
    <w:rsid w:val="78586C1C"/>
    <w:rsid w:val="798467B3"/>
    <w:rsid w:val="799F047E"/>
    <w:rsid w:val="79F3457F"/>
    <w:rsid w:val="7A7845A4"/>
    <w:rsid w:val="7DE7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3007</Words>
  <Characters>3201</Characters>
  <Lines>0</Lines>
  <Paragraphs>0</Paragraphs>
  <TotalTime>0</TotalTime>
  <ScaleCrop>false</ScaleCrop>
  <LinksUpToDate>false</LinksUpToDate>
  <CharactersWithSpaces>3270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2022-08-04T02:12:00Z</cp:lastPrinted>
  <dcterms:modified xsi:type="dcterms:W3CDTF">2022-08-18T07:48:05Z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F415E29EB6014D7A8D1822C8BCC80A26</vt:lpwstr>
  </property>
</Properties>
</file>