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2022年度基本公共卫生项目</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评价工作开展及项目情况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（一）项目实施单位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疾病预防控制中心，取得黑水县事业单位登记管理局事业单位法人证书，统一社会信用代码：125132284526081480G；宗旨和业务范围：负责实施对疾病控制，开展食品、职业、环境、学校等五大卫生监测，防病检验及预防性健康检查等工作；住所：黑水县芦花镇胜利路9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为贯彻落实国家有关艾滋病等重大传染病和地方病防治相关法律法规，推动防治工作深入开展，2022年度下达我中心基本公共卫生服务中央补助资金共计69.77万元</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 xml:space="preserve">截至2022年12月31日，我中心列支资金共计55.07万元，资金执行率达78.93%。 </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rPr>
      </w:pPr>
      <w:r>
        <w:rPr>
          <w:rFonts w:hint="eastAsia" w:ascii="仿宋_GB2312" w:hAnsi="仿宋" w:eastAsia="仿宋_GB2312" w:cs="仿宋_GB2312"/>
          <w:sz w:val="32"/>
          <w:szCs w:val="32"/>
          <w:lang w:val="zh-CN" w:eastAsia="zh-CN"/>
        </w:rPr>
        <w:t>项目绩效评价总体得分为96分，其中：项目决策方面总分12分，评价得分12分；项目实施方面总分11分，评价得分9分；完成结果方面总分17分，评价得分17分；项目效果方面总分20分，评价得分20分；项目绩效方面总分40分，评价得分38分。具体情况详见下表：</w:t>
      </w:r>
    </w:p>
    <w:tbl>
      <w:tblPr>
        <w:tblStyle w:val="4"/>
        <w:tblW w:w="9510" w:type="dxa"/>
        <w:jc w:val="center"/>
        <w:tblLayout w:type="fixed"/>
        <w:tblCellMar>
          <w:top w:w="0" w:type="dxa"/>
          <w:left w:w="0" w:type="dxa"/>
          <w:bottom w:w="0" w:type="dxa"/>
          <w:right w:w="0" w:type="dxa"/>
        </w:tblCellMar>
      </w:tblPr>
      <w:tblGrid>
        <w:gridCol w:w="576"/>
        <w:gridCol w:w="945"/>
        <w:gridCol w:w="945"/>
        <w:gridCol w:w="3810"/>
        <w:gridCol w:w="510"/>
        <w:gridCol w:w="480"/>
        <w:gridCol w:w="2244"/>
      </w:tblGrid>
      <w:tr>
        <w:tblPrEx>
          <w:tblCellMar>
            <w:top w:w="0" w:type="dxa"/>
            <w:left w:w="0" w:type="dxa"/>
            <w:bottom w:w="0" w:type="dxa"/>
            <w:right w:w="0" w:type="dxa"/>
          </w:tblCellMar>
        </w:tblPrEx>
        <w:trPr>
          <w:trHeight w:val="27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分值权重</w:t>
            </w:r>
          </w:p>
        </w:tc>
        <w:tc>
          <w:tcPr>
            <w:tcW w:w="57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预算绩效指标</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分值</w:t>
            </w: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评价得分</w:t>
            </w:r>
          </w:p>
        </w:tc>
        <w:tc>
          <w:tcPr>
            <w:tcW w:w="22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扣分原因</w:t>
            </w:r>
          </w:p>
        </w:tc>
      </w:tr>
      <w:tr>
        <w:tblPrEx>
          <w:tblCellMar>
            <w:top w:w="0" w:type="dxa"/>
            <w:left w:w="0" w:type="dxa"/>
            <w:bottom w:w="0" w:type="dxa"/>
            <w:right w:w="0"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一级指标</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二级指标</w:t>
            </w:r>
          </w:p>
        </w:tc>
        <w:tc>
          <w:tcPr>
            <w:tcW w:w="3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三级指标</w:t>
            </w: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3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144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440" w:firstLineChars="20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项目决策</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程序严密</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项目设立是否经过严格评估论证，是否属于部门职责相符，是否属于公共财政支持范围，是否符合地方事权支出责任划分原则，是否与相关部门同类项目或部门内部相关项目重复</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803"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220"/>
              </w:tabs>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规划合理</w:t>
            </w:r>
          </w:p>
        </w:tc>
        <w:tc>
          <w:tcPr>
            <w:tcW w:w="3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项目规划是否符合省委、省政府重大决策部署，是否与项目年度目标一致</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1078"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制度完备</w:t>
            </w:r>
          </w:p>
        </w:tc>
        <w:tc>
          <w:tcPr>
            <w:tcW w:w="38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项目指导意见、管理办法、申报指南、实施细则等管理制度是否完善，是否存在脱离实际、缺陷、漏洞导致执行偏离预期</w:t>
            </w:r>
          </w:p>
        </w:tc>
        <w:tc>
          <w:tcPr>
            <w:tcW w:w="51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48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67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 xml:space="preserve">  11%</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项目实施</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分配合理</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项目资金分配结果是否与规划计划一致；是否按规定及时分配专项预算资金</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3</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项目资金执行率达78.93%</w:t>
            </w:r>
          </w:p>
        </w:tc>
      </w:tr>
      <w:tr>
        <w:tblPrEx>
          <w:tblCellMar>
            <w:top w:w="0" w:type="dxa"/>
            <w:left w:w="0" w:type="dxa"/>
            <w:bottom w:w="0" w:type="dxa"/>
            <w:right w:w="0" w:type="dxa"/>
          </w:tblCellMar>
        </w:tblPrEx>
        <w:trPr>
          <w:trHeight w:val="734"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使用合规</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项目资金使用是否符合相关的财务管理制度规定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4</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854" w:hRule="atLeast"/>
          <w:jc w:val="center"/>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执行有效</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项目实施是否符合相关管理制度规定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 xml:space="preserve">  17%</w:t>
            </w:r>
          </w:p>
        </w:tc>
        <w:tc>
          <w:tcPr>
            <w:tcW w:w="9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完成结果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预算完成</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地方病监测完成率≥95%；麻风病规定随访到位率≥90%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kern w:val="0"/>
                <w:sz w:val="22"/>
                <w:szCs w:val="22"/>
                <w:u w:val="none"/>
                <w:lang w:val="en-US" w:eastAsia="zh-CN" w:bidi="ar"/>
              </w:rPr>
              <w:t>地方病监测完成率=100%；麻风病规定随访到位率=100%</w:t>
            </w:r>
          </w:p>
        </w:tc>
      </w:tr>
      <w:tr>
        <w:tblPrEx>
          <w:tblCellMar>
            <w:top w:w="0" w:type="dxa"/>
            <w:left w:w="0" w:type="dxa"/>
            <w:bottom w:w="0" w:type="dxa"/>
            <w:right w:w="0" w:type="dxa"/>
          </w:tblCellMar>
        </w:tblPrEx>
        <w:trPr>
          <w:trHeight w:val="780"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目标完成</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项目实施后是否完成预期目标</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b w:val="0"/>
                <w:bCs/>
                <w:i w:val="0"/>
                <w:color w:val="000000"/>
                <w:sz w:val="22"/>
                <w:szCs w:val="22"/>
                <w:u w:val="none"/>
                <w:lang w:val="en-US" w:eastAsia="zh-CN"/>
              </w:rPr>
            </w:pPr>
          </w:p>
        </w:tc>
      </w:tr>
      <w:tr>
        <w:tblPrEx>
          <w:tblCellMar>
            <w:top w:w="0" w:type="dxa"/>
            <w:left w:w="0" w:type="dxa"/>
            <w:bottom w:w="0" w:type="dxa"/>
            <w:right w:w="0" w:type="dxa"/>
          </w:tblCellMar>
        </w:tblPrEx>
        <w:trPr>
          <w:trHeight w:val="1228"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完成及时</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项目实际完成时间与计划完成时间的比较，用以反映和考核项目产出实效目标的实现程度</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5</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lang w:eastAsia="zh-CN"/>
              </w:rPr>
            </w:pPr>
          </w:p>
        </w:tc>
      </w:tr>
      <w:tr>
        <w:tblPrEx>
          <w:tblCellMar>
            <w:top w:w="0" w:type="dxa"/>
            <w:left w:w="0" w:type="dxa"/>
            <w:bottom w:w="0" w:type="dxa"/>
            <w:right w:w="0" w:type="dxa"/>
          </w:tblCellMar>
        </w:tblPrEx>
        <w:trPr>
          <w:trHeight w:val="950" w:hRule="atLeast"/>
          <w:jc w:val="center"/>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违规记录</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项目管理是否合规</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2</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220" w:firstLineChars="100"/>
              <w:jc w:val="both"/>
              <w:textAlignment w:val="center"/>
              <w:rPr>
                <w:rFonts w:hint="default"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20%</w:t>
            </w:r>
          </w:p>
        </w:tc>
        <w:tc>
          <w:tcPr>
            <w:tcW w:w="945"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项目效果</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区域均衡性</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项目资金分配体现的均衡公平情况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对象公平性</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项目资金分配结果是否公平合理，是否充分考虑地域条件、经济条件等</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6</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6</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950" w:hRule="atLeast"/>
          <w:jc w:val="center"/>
        </w:trPr>
        <w:tc>
          <w:tcPr>
            <w:tcW w:w="5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kern w:val="0"/>
                <w:sz w:val="22"/>
                <w:szCs w:val="22"/>
                <w:u w:val="none"/>
                <w:lang w:val="en-US" w:eastAsia="zh-CN" w:bidi="ar"/>
              </w:rPr>
            </w:pPr>
          </w:p>
        </w:tc>
        <w:tc>
          <w:tcPr>
            <w:tcW w:w="9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475"/>
              </w:tabs>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lang w:eastAsia="zh-CN"/>
              </w:rPr>
            </w:pPr>
            <w:r>
              <w:rPr>
                <w:rFonts w:hint="eastAsia" w:ascii="仿宋" w:hAnsi="仿宋" w:eastAsia="仿宋" w:cs="仿宋"/>
                <w:b w:val="0"/>
                <w:bCs/>
                <w:i w:val="0"/>
                <w:color w:val="000000"/>
                <w:sz w:val="22"/>
                <w:szCs w:val="22"/>
                <w:u w:val="none"/>
                <w:lang w:eastAsia="zh-CN"/>
              </w:rPr>
              <w:t>社会满意度</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kern w:val="0"/>
                <w:sz w:val="22"/>
                <w:szCs w:val="22"/>
                <w:u w:val="none"/>
                <w:lang w:val="en-US" w:eastAsia="zh-CN" w:bidi="ar"/>
              </w:rPr>
            </w:pPr>
            <w:r>
              <w:rPr>
                <w:rFonts w:hint="eastAsia" w:ascii="仿宋" w:hAnsi="仿宋" w:eastAsia="仿宋" w:cs="仿宋"/>
                <w:b w:val="0"/>
                <w:bCs/>
                <w:i w:val="0"/>
                <w:color w:val="000000"/>
                <w:kern w:val="0"/>
                <w:sz w:val="22"/>
                <w:szCs w:val="22"/>
                <w:u w:val="none"/>
                <w:lang w:val="en-US" w:eastAsia="zh-CN" w:bidi="ar"/>
              </w:rPr>
              <w:t>相关群体满意度调查情况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7</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40%</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项目绩效</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完成数量</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项目资金支付使用情况</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8</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sz w:val="22"/>
                <w:szCs w:val="22"/>
                <w:u w:val="none"/>
              </w:rPr>
              <w:t>项目共计下达资金</w:t>
            </w:r>
            <w:r>
              <w:rPr>
                <w:rFonts w:hint="eastAsia" w:ascii="仿宋" w:hAnsi="仿宋" w:eastAsia="仿宋" w:cs="仿宋"/>
                <w:b w:val="0"/>
                <w:bCs/>
                <w:i w:val="0"/>
                <w:color w:val="000000"/>
                <w:sz w:val="22"/>
                <w:szCs w:val="22"/>
                <w:u w:val="none"/>
                <w:lang w:val="en-US" w:eastAsia="zh-CN"/>
              </w:rPr>
              <w:t>69.77</w:t>
            </w:r>
            <w:r>
              <w:rPr>
                <w:rFonts w:hint="eastAsia" w:ascii="仿宋" w:hAnsi="仿宋" w:eastAsia="仿宋" w:cs="仿宋"/>
                <w:b w:val="0"/>
                <w:bCs/>
                <w:i w:val="0"/>
                <w:color w:val="000000"/>
                <w:sz w:val="22"/>
                <w:szCs w:val="22"/>
                <w:u w:val="none"/>
              </w:rPr>
              <w:t>万元，合计支出</w:t>
            </w:r>
            <w:r>
              <w:rPr>
                <w:rFonts w:hint="eastAsia" w:ascii="仿宋" w:hAnsi="仿宋" w:eastAsia="仿宋" w:cs="仿宋"/>
                <w:b w:val="0"/>
                <w:bCs/>
                <w:i w:val="0"/>
                <w:color w:val="000000"/>
                <w:sz w:val="22"/>
                <w:szCs w:val="22"/>
                <w:u w:val="none"/>
                <w:lang w:val="en-US" w:eastAsia="zh-CN"/>
              </w:rPr>
              <w:t>55.07</w:t>
            </w:r>
            <w:r>
              <w:rPr>
                <w:rFonts w:hint="eastAsia" w:ascii="仿宋" w:hAnsi="仿宋" w:eastAsia="仿宋" w:cs="仿宋"/>
                <w:b w:val="0"/>
                <w:bCs/>
                <w:i w:val="0"/>
                <w:color w:val="000000"/>
                <w:sz w:val="22"/>
                <w:szCs w:val="22"/>
                <w:u w:val="none"/>
              </w:rPr>
              <w:t>元，占项目预算的</w:t>
            </w:r>
            <w:r>
              <w:rPr>
                <w:rFonts w:hint="eastAsia" w:ascii="仿宋" w:hAnsi="仿宋" w:eastAsia="仿宋" w:cs="仿宋"/>
                <w:b w:val="0"/>
                <w:bCs/>
                <w:i w:val="0"/>
                <w:color w:val="000000"/>
                <w:sz w:val="22"/>
                <w:szCs w:val="22"/>
                <w:u w:val="none"/>
                <w:lang w:val="en-US" w:eastAsia="zh-CN"/>
              </w:rPr>
              <w:t>78.93</w:t>
            </w:r>
            <w:r>
              <w:rPr>
                <w:rFonts w:hint="eastAsia" w:ascii="仿宋" w:hAnsi="仿宋" w:eastAsia="仿宋" w:cs="仿宋"/>
                <w:b w:val="0"/>
                <w:bCs/>
                <w:i w:val="0"/>
                <w:color w:val="000000"/>
                <w:sz w:val="22"/>
                <w:szCs w:val="22"/>
                <w:u w:val="none"/>
              </w:rPr>
              <w:t>%。</w:t>
            </w:r>
          </w:p>
        </w:tc>
      </w:tr>
      <w:tr>
        <w:tblPrEx>
          <w:tblCellMar>
            <w:top w:w="0" w:type="dxa"/>
            <w:left w:w="0" w:type="dxa"/>
            <w:bottom w:w="0" w:type="dxa"/>
            <w:right w:w="0"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完成质量</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提高我县地方病知晓率；了解城乡饮用水基本情况及保障和促进了儿童青少年健康</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完成时效</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 w:hAnsi="仿宋" w:eastAsia="仿宋" w:cs="仿宋"/>
                <w:b w:val="0"/>
                <w:bCs/>
                <w:i w:val="0"/>
                <w:color w:val="000000"/>
                <w:sz w:val="22"/>
                <w:szCs w:val="22"/>
                <w:u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完成成本</w:t>
            </w:r>
          </w:p>
        </w:tc>
        <w:tc>
          <w:tcPr>
            <w:tcW w:w="3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bCs/>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none"/>
                <w:lang w:val="en-US" w:eastAsia="zh-CN"/>
              </w:rPr>
              <w:t>10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10</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b w:val="0"/>
                <w:bCs/>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627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i w:val="0"/>
                <w:color w:val="000000"/>
                <w:sz w:val="22"/>
                <w:szCs w:val="22"/>
                <w:u w:val="none"/>
              </w:rPr>
            </w:pPr>
            <w:r>
              <w:rPr>
                <w:rFonts w:hint="eastAsia" w:ascii="仿宋" w:hAnsi="仿宋" w:eastAsia="仿宋" w:cs="仿宋"/>
                <w:b w:val="0"/>
                <w:bCs/>
                <w:i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i w:val="0"/>
                <w:color w:val="000000"/>
                <w:sz w:val="22"/>
                <w:szCs w:val="22"/>
                <w:u w:val="none"/>
                <w:lang w:val="en-US"/>
              </w:rPr>
            </w:pPr>
            <w:r>
              <w:rPr>
                <w:rFonts w:hint="eastAsia" w:ascii="仿宋" w:hAnsi="仿宋" w:eastAsia="仿宋" w:cs="仿宋"/>
                <w:b w:val="0"/>
                <w:bCs/>
                <w:i w:val="0"/>
                <w:color w:val="000000"/>
                <w:kern w:val="0"/>
                <w:sz w:val="22"/>
                <w:szCs w:val="22"/>
                <w:u w:val="none"/>
                <w:lang w:val="en-US" w:eastAsia="zh-CN" w:bidi="ar"/>
              </w:rPr>
              <w:t>96</w:t>
            </w:r>
          </w:p>
        </w:tc>
        <w:tc>
          <w:tcPr>
            <w:tcW w:w="2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b w:val="0"/>
                <w:bCs/>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 w:hAnsi="仿宋" w:eastAsia="仿宋" w:cs="仿宋"/>
          <w:sz w:val="32"/>
          <w:szCs w:val="32"/>
          <w:lang w:val="zh-CN" w:eastAsia="zh-CN"/>
        </w:rPr>
        <w:t>总体上看，被评价项目财政支出目标明确、具体，决策程序科学、有效，项目管理较为完善，项目目标和效果基本达成。通过 17个三级指标的考评汇总分析，综合分值96分。</w:t>
      </w:r>
      <w:r>
        <w:rPr>
          <w:rFonts w:hint="eastAsia" w:ascii="仿宋_GB2312" w:hAnsi="仿宋" w:eastAsia="仿宋_GB2312" w:cs="仿宋_GB2312"/>
          <w:sz w:val="32"/>
          <w:szCs w:val="32"/>
        </w:rPr>
        <w:t>（二）绩效分析</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基本公共卫生服务</w:t>
      </w:r>
      <w:r>
        <w:rPr>
          <w:rFonts w:hint="eastAsia" w:ascii="仿宋_GB2312" w:hAnsi="仿宋" w:eastAsia="仿宋_GB2312" w:cs="仿宋_GB2312"/>
          <w:sz w:val="32"/>
          <w:szCs w:val="32"/>
        </w:rPr>
        <w:t>项目资金使用经过事前评估，符合资金使用的基本规范和程序要求;项目资金属于公共财政支持范围，符合地方事权支出责任划分原则；符合省委、省政府重大决策部署和宏观政策规划，项目年度绩效目标与中长期规划一致。样本评价中，规划与现实需求匹配；资金相关管理制度机制健全完善，在项目执行过程中，不存在管理制度有悖于实际的情况，不存在难以操作、无法落地、执行不畅的情况，</w:t>
      </w:r>
      <w:r>
        <w:rPr>
          <w:rFonts w:hint="eastAsia" w:ascii="仿宋_GB2312" w:hAnsi="仿宋" w:eastAsia="仿宋_GB2312" w:cs="仿宋_GB2312"/>
          <w:sz w:val="32"/>
          <w:szCs w:val="32"/>
          <w:lang w:eastAsia="zh-CN"/>
        </w:rPr>
        <w:t>项目资金</w:t>
      </w:r>
      <w:r>
        <w:rPr>
          <w:rFonts w:hint="eastAsia" w:ascii="仿宋_GB2312" w:hAnsi="仿宋" w:eastAsia="仿宋_GB2312" w:cs="仿宋_GB2312"/>
          <w:sz w:val="32"/>
          <w:szCs w:val="32"/>
        </w:rPr>
        <w:t>满足实际需求。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我单位执行政府会计准则制度，进行独立核算，根据《中华人民共和国会计法》《中华人民共和国</w:t>
      </w:r>
      <w:bookmarkStart w:id="0" w:name="_GoBack"/>
      <w:bookmarkEnd w:id="0"/>
      <w:r>
        <w:rPr>
          <w:rFonts w:hint="eastAsia" w:ascii="仿宋" w:hAnsi="仿宋" w:eastAsia="仿宋" w:cs="仿宋"/>
          <w:sz w:val="32"/>
          <w:szCs w:val="32"/>
          <w:lang w:val="zh-CN" w:eastAsia="zh-CN"/>
        </w:rPr>
        <w:t>预算法》等相关法律法规进行财务管理。该项目所有支出均实行独立核算，专款专用。资金的使用严格把关，按照我单位财务管理制度；项目的运行完全按照我中心内部管理制度、县委县政府及财政的有关规定执行，严格人员作风，不存在违规违法的问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通过开展地方病对症治疗及随访等综合管理工作，使我县居民对地方病有了更深的了解；通过开展微生物指标、毒理学指标、感官性状和一般化学指标，了解了我县饮用水卫生基本情况，为改善饮用水提供了科学依据。</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存在主要问题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1.相关部门配合力度不够，现场工作协调困难，现场健康教育宣传力度不够。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lang w:eastAsia="zh-CN"/>
        </w:rPr>
      </w:pPr>
      <w:r>
        <w:rPr>
          <w:rFonts w:hint="eastAsia" w:ascii="仿宋_GB2312" w:eastAsia="仿宋_GB2312" w:cs="Times New Roman"/>
          <w:sz w:val="32"/>
          <w:szCs w:val="32"/>
          <w:lang w:val="en-US" w:eastAsia="zh-CN"/>
        </w:rPr>
        <w:t>2.专业人员缺乏，给防治工作带来很大困难，专业人员的防治技术有待于进一步的提高，宣传力度有待于加强。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、相关措施建议</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继续加大部门协调联动力度，多方筹措资金，加强督导，加强专业技术人员的培训。加大宣传力度，增强群众的防病意识。</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黑水县疾病预防控制中心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2023年8月31日                                                </w:t>
      </w: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9AF81"/>
    <w:multiLevelType w:val="singleLevel"/>
    <w:tmpl w:val="AE59AF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54B43"/>
    <w:rsid w:val="297BBEF2"/>
    <w:rsid w:val="3F654B43"/>
    <w:rsid w:val="48F47AAB"/>
    <w:rsid w:val="575A31E3"/>
    <w:rsid w:val="81E7A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character" w:customStyle="1" w:styleId="6">
    <w:name w:val="标题 1 Char"/>
    <w:basedOn w:val="5"/>
    <w:link w:val="3"/>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1745</Words>
  <Characters>1855</Characters>
  <Lines>0</Lines>
  <Paragraphs>0</Paragraphs>
  <TotalTime>4</TotalTime>
  <ScaleCrop>false</ScaleCrop>
  <LinksUpToDate>false</LinksUpToDate>
  <CharactersWithSpaces>1936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2023-08-31T17:46:00Z</dcterms:created>
  <dc:creator>x</dc:creator>
  <cp:lastModifiedBy>user</cp:lastModifiedBy>
  <cp:lastPrinted>2023-08-31T18:30:00Z</cp:lastPrinted>
  <dcterms:modified xsi:type="dcterms:W3CDTF">2023-10-08T15:52:16Z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0367A9CC0FA646628C12F838FE28C4BF</vt:lpwstr>
  </property>
</Properties>
</file>