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kinsoku/>
        <w:wordWrap/>
        <w:overflowPunct/>
        <w:topLinePunct w:val="0"/>
        <w:autoSpaceDE/>
        <w:autoSpaceDN/>
        <w:bidi w:val="0"/>
        <w:spacing w:line="578" w:lineRule="exact"/>
        <w:ind w:firstLine="883" w:firstLineChars="200"/>
        <w:contextualSpacing/>
        <w:jc w:val="center"/>
        <w:textAlignment w:val="auto"/>
        <w:outlineLvl w:val="9"/>
        <w:rPr>
          <w:rFonts w:hint="eastAsia" w:ascii="方正小标宋_GBK" w:hAnsi="方正小标宋_GBK" w:eastAsia="方正小标宋_GBK" w:cs="方正小标宋_GBK"/>
          <w:b/>
          <w:bCs w:val="0"/>
          <w:sz w:val="44"/>
          <w:szCs w:val="44"/>
          <w:highlight w:val="none"/>
          <w:shd w:val="clear" w:color="auto" w:fill="FFFFFF"/>
          <w:lang w:val="en-US" w:eastAsia="zh-CN"/>
        </w:rPr>
      </w:pPr>
      <w:r>
        <w:rPr>
          <w:rFonts w:hint="eastAsia" w:ascii="方正小标宋_GBK" w:hAnsi="方正小标宋_GBK" w:eastAsia="方正小标宋_GBK" w:cs="方正小标宋_GBK"/>
          <w:b/>
          <w:bCs w:val="0"/>
          <w:sz w:val="44"/>
          <w:szCs w:val="44"/>
          <w:highlight w:val="none"/>
          <w:shd w:val="clear" w:color="auto" w:fill="FFFFFF"/>
          <w:lang w:val="en-US" w:eastAsia="zh-CN"/>
        </w:rPr>
        <w:t>黑水县疾病预防控制中心</w:t>
      </w:r>
    </w:p>
    <w:p>
      <w:pPr>
        <w:keepNext w:val="0"/>
        <w:keepLines w:val="0"/>
        <w:pageBreakBefore w:val="0"/>
        <w:widowControl/>
        <w:kinsoku/>
        <w:wordWrap/>
        <w:overflowPunct/>
        <w:topLinePunct w:val="0"/>
        <w:autoSpaceDE/>
        <w:autoSpaceDN/>
        <w:bidi w:val="0"/>
        <w:spacing w:line="578" w:lineRule="exact"/>
        <w:ind w:firstLine="883" w:firstLineChars="200"/>
        <w:contextualSpacing/>
        <w:jc w:val="center"/>
        <w:textAlignment w:val="auto"/>
        <w:outlineLvl w:val="9"/>
        <w:rPr>
          <w:rFonts w:hint="eastAsia" w:ascii="方正小标宋_GBK" w:hAnsi="方正小标宋_GBK" w:eastAsia="方正小标宋_GBK" w:cs="方正小标宋_GBK"/>
          <w:b/>
          <w:bCs w:val="0"/>
          <w:sz w:val="44"/>
          <w:szCs w:val="44"/>
          <w:highlight w:val="none"/>
          <w:shd w:val="clear" w:color="auto" w:fill="FFFFFF"/>
          <w:lang w:val="en-US" w:eastAsia="zh-CN"/>
        </w:rPr>
      </w:pPr>
      <w:r>
        <w:rPr>
          <w:rFonts w:hint="eastAsia" w:ascii="方正小标宋_GBK" w:hAnsi="方正小标宋_GBK" w:eastAsia="方正小标宋_GBK" w:cs="方正小标宋_GBK"/>
          <w:b/>
          <w:bCs w:val="0"/>
          <w:sz w:val="44"/>
          <w:szCs w:val="44"/>
          <w:highlight w:val="none"/>
          <w:shd w:val="clear" w:color="auto" w:fill="FFFFFF"/>
          <w:lang w:val="en-US" w:eastAsia="zh-CN"/>
        </w:rPr>
        <w:t>2023年重大公共卫生服务项目支出绩效评价报告</w:t>
      </w:r>
    </w:p>
    <w:p>
      <w:pPr>
        <w:keepNext w:val="0"/>
        <w:keepLines w:val="0"/>
        <w:pageBreakBefore w:val="0"/>
        <w:widowControl/>
        <w:kinsoku/>
        <w:wordWrap/>
        <w:overflowPunct/>
        <w:topLinePunct w:val="0"/>
        <w:autoSpaceDE/>
        <w:autoSpaceDN/>
        <w:bidi w:val="0"/>
        <w:spacing w:line="578" w:lineRule="exact"/>
        <w:ind w:firstLine="883" w:firstLineChars="200"/>
        <w:contextualSpacing/>
        <w:jc w:val="center"/>
        <w:textAlignment w:val="auto"/>
        <w:outlineLvl w:val="9"/>
        <w:rPr>
          <w:rFonts w:hint="eastAsia" w:ascii="方正小标宋_GBK" w:hAnsi="方正小标宋_GBK" w:eastAsia="方正小标宋_GBK" w:cs="方正小标宋_GBK"/>
          <w:b/>
          <w:bCs w:val="0"/>
          <w:sz w:val="44"/>
          <w:szCs w:val="44"/>
          <w:highlight w:val="none"/>
          <w:shd w:val="clear" w:color="auto" w:fill="FFFFFF"/>
          <w:lang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评价工作开展及项目情况</w:t>
      </w:r>
    </w:p>
    <w:p>
      <w:pPr>
        <w:keepNext w:val="0"/>
        <w:keepLines w:val="0"/>
        <w:pageBreakBefore w:val="0"/>
        <w:widowControl w:val="0"/>
        <w:kinsoku/>
        <w:wordWrap/>
        <w:overflowPunct/>
        <w:topLinePunct w:val="0"/>
        <w:autoSpaceDE/>
        <w:autoSpaceDN/>
        <w:bidi w:val="0"/>
        <w:spacing w:line="578" w:lineRule="exact"/>
        <w:ind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eastAsia="仿宋_GB2312" w:cs="Times New Roman"/>
          <w:szCs w:val="32"/>
        </w:rPr>
      </w:pPr>
      <w:r>
        <w:rPr>
          <w:rFonts w:hint="eastAsia" w:ascii="Times New Roman" w:hAnsi="Times New Roman" w:cs="Times New Roman"/>
          <w:szCs w:val="32"/>
          <w:lang w:val="zh-CN" w:eastAsia="zh-CN"/>
        </w:rPr>
        <w:t>通过项目绩效自评，确定项目开展效果，项目开展内容是否达到上级部门下达的指标要求。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3"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default" w:cs="Times New Roman"/>
          <w:szCs w:val="32"/>
          <w:lang w:val="en-US" w:eastAsia="zh-CN"/>
        </w:rPr>
      </w:pPr>
      <w:r>
        <w:rPr>
          <w:rFonts w:hint="eastAsia" w:cs="Times New Roman"/>
          <w:szCs w:val="32"/>
          <w:lang w:eastAsia="zh-CN"/>
        </w:rPr>
        <w:t>按照绩效评价指标体系，中心从通用指标、专用指标及个性指标对项目开展了绩效评价工作。该项目资金支出使用全过程符合重大传染病项目资金实施方案要求，全部用于重大传染病项目</w:t>
      </w:r>
      <w:r>
        <w:rPr>
          <w:rFonts w:hint="eastAsia" w:cs="Times New Roman"/>
          <w:szCs w:val="32"/>
          <w:lang w:val="en-US" w:eastAsia="zh-CN"/>
        </w:rPr>
        <w:t>，实施效果与预计效果相符。</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3"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评价选点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_GB2312" w:hAnsi="仿宋_GB2312" w:cs="仿宋_GB2312"/>
          <w:color w:val="auto"/>
          <w:kern w:val="0"/>
          <w:sz w:val="32"/>
          <w:szCs w:val="32"/>
          <w:highlight w:val="none"/>
          <w:u w:val="none"/>
          <w:shd w:val="clear" w:color="auto" w:fill="FFFFFF"/>
          <w:lang w:val="en-US" w:eastAsia="zh-CN"/>
        </w:rPr>
      </w:pPr>
      <w:r>
        <w:rPr>
          <w:rFonts w:hint="eastAsia" w:cs="Times New Roman"/>
          <w:szCs w:val="32"/>
          <w:lang w:val="zh-CN" w:eastAsia="zh-CN"/>
        </w:rPr>
        <w:t>项目绩效自评主要通过抽取</w:t>
      </w:r>
      <w:r>
        <w:rPr>
          <w:rFonts w:hint="eastAsia" w:cs="Times New Roman"/>
          <w:szCs w:val="32"/>
          <w:lang w:val="en-US" w:eastAsia="zh-CN"/>
        </w:rPr>
        <w:t>2023年资金拨付凭证来进行自评工作，通过核查中心拨付凭证，确定了项目资金的确用于拨付重大传染病项目。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3"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default" w:eastAsia="仿宋_GB2312" w:cs="Times New Roman"/>
          <w:szCs w:val="32"/>
          <w:lang w:val="en-US" w:eastAsia="zh-CN"/>
        </w:rPr>
      </w:pPr>
      <w:r>
        <w:rPr>
          <w:rFonts w:hint="eastAsia" w:cs="Times New Roman"/>
          <w:szCs w:val="32"/>
          <w:lang w:val="en-US" w:eastAsia="zh-CN"/>
        </w:rPr>
        <w:t>由于该专项资金主要用于涉及民生保障，资金用途明确。我中心采用单位自评法、实地勘察法对项目进行自评工作。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3"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lang w:val="en-US" w:eastAsia="zh-CN"/>
        </w:rPr>
      </w:pPr>
      <w:r>
        <w:rPr>
          <w:rFonts w:hint="eastAsia"/>
          <w:lang w:val="en-US" w:eastAsia="zh-CN"/>
        </w:rPr>
        <w:t>重大公共卫生服务补助资金共计下达345.77万元，其中：</w:t>
      </w:r>
      <w:bookmarkStart w:id="0" w:name="_GoBack"/>
      <w:bookmarkEnd w:id="0"/>
      <w:r>
        <w:rPr>
          <w:rFonts w:hint="eastAsia"/>
          <w:lang w:val="en-US" w:eastAsia="zh-CN"/>
        </w:rPr>
        <w:t>阿州财社（2023）58号下达资金85.44万元；阿州财社（2023）59号下达资金214.84万元；阿州财社（2023）126号下达资金45.49万元。用于开展</w:t>
      </w:r>
      <w:r>
        <w:rPr>
          <w:rFonts w:hint="eastAsia" w:ascii="仿宋_GB2312" w:hAnsi="仿宋_GB2312" w:cs="仿宋_GB2312"/>
          <w:color w:val="auto"/>
          <w:kern w:val="0"/>
          <w:sz w:val="32"/>
          <w:szCs w:val="32"/>
          <w:highlight w:val="none"/>
          <w:u w:val="none"/>
          <w:shd w:val="clear" w:color="auto" w:fill="FFFFFF"/>
          <w:lang w:val="en-US" w:eastAsia="zh-CN"/>
        </w:rPr>
        <w:t>落实国家有关艾滋病等重大传染病防治工作，提高我县群众</w:t>
      </w:r>
      <w:r>
        <w:rPr>
          <w:rFonts w:hint="eastAsia" w:ascii="仿宋_GB2312" w:hAnsi="Times New Roman" w:eastAsia="仿宋_GB2312" w:cs="Times New Roman"/>
          <w:sz w:val="32"/>
          <w:szCs w:val="32"/>
          <w:lang w:val="en-US" w:eastAsia="zh-CN"/>
        </w:rPr>
        <w:t>防病意识，有效减少</w:t>
      </w:r>
      <w:r>
        <w:rPr>
          <w:rFonts w:hint="eastAsia" w:ascii="仿宋_GB2312" w:cs="Times New Roman"/>
          <w:sz w:val="32"/>
          <w:szCs w:val="32"/>
          <w:lang w:val="en-US" w:eastAsia="zh-CN"/>
        </w:rPr>
        <w:t>重大传染病防治</w:t>
      </w:r>
      <w:r>
        <w:rPr>
          <w:rFonts w:hint="eastAsia" w:ascii="仿宋_GB2312" w:hAnsi="Times New Roman" w:eastAsia="仿宋_GB2312" w:cs="Times New Roman"/>
          <w:sz w:val="32"/>
          <w:szCs w:val="32"/>
          <w:lang w:val="en-US" w:eastAsia="zh-CN"/>
        </w:rPr>
        <w:t>发生。</w:t>
      </w:r>
      <w:r>
        <w:rPr>
          <w:rFonts w:hint="eastAsia" w:ascii="仿宋_GB2312" w:cs="Times New Roman"/>
          <w:sz w:val="32"/>
          <w:szCs w:val="32"/>
          <w:lang w:val="en-US" w:eastAsia="zh-CN"/>
        </w:rPr>
        <w:t>2023年全面完成了项目各项任务指标（结核病攻坚行动项目除外，该项目实施时间为二年）。资金全年执行数为99.54万元，预算执行率为28.79%。</w:t>
      </w:r>
    </w:p>
    <w:p>
      <w:pPr>
        <w:keepNext w:val="0"/>
        <w:keepLines w:val="0"/>
        <w:pageBreakBefore w:val="0"/>
        <w:widowControl/>
        <w:numPr>
          <w:ilvl w:val="0"/>
          <w:numId w:val="1"/>
        </w:numPr>
        <w:kinsoku/>
        <w:wordWrap/>
        <w:overflowPunct/>
        <w:topLinePunct w:val="0"/>
        <w:autoSpaceDE/>
        <w:autoSpaceDN/>
        <w:bidi w:val="0"/>
        <w:spacing w:line="578" w:lineRule="exact"/>
        <w:ind w:left="0" w:leftChars="0" w:firstLine="642" w:firstLineChars="200"/>
        <w:contextualSpacing/>
        <w:jc w:val="both"/>
        <w:textAlignment w:val="auto"/>
        <w:outlineLvl w:val="9"/>
        <w:rPr>
          <w:rFonts w:hint="eastAsia" w:ascii="楷体_GB2312" w:hAnsi="宋体" w:eastAsia="楷体_GB2312"/>
          <w:b/>
          <w:color w:val="auto"/>
          <w:sz w:val="32"/>
          <w:szCs w:val="32"/>
          <w:highlight w:val="none"/>
          <w:u w:val="none"/>
          <w:lang w:val="zh-CN" w:eastAsia="zh-CN"/>
        </w:rPr>
      </w:pPr>
      <w:r>
        <w:rPr>
          <w:rFonts w:hint="eastAsia" w:ascii="楷体_GB2312" w:hAnsi="宋体" w:eastAsia="楷体_GB2312"/>
          <w:b/>
          <w:color w:val="auto"/>
          <w:sz w:val="32"/>
          <w:szCs w:val="32"/>
          <w:highlight w:val="none"/>
          <w:u w:val="none"/>
          <w:lang w:val="zh-CN" w:eastAsia="zh-CN"/>
        </w:rPr>
        <w:t>评价结论及绩效分析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该项专项预算项目绩效自评总体结论优异，自评得分</w:t>
      </w:r>
      <w:r>
        <w:rPr>
          <w:rFonts w:hint="eastAsia" w:ascii="仿宋_GB2312" w:hAnsi="仿宋_GB2312" w:cs="仿宋_GB2312"/>
          <w:b w:val="0"/>
          <w:bCs w:val="0"/>
          <w:kern w:val="0"/>
          <w:position w:val="0"/>
          <w:sz w:val="32"/>
          <w:szCs w:val="32"/>
          <w:highlight w:val="none"/>
          <w:lang w:val="en-US" w:eastAsia="zh-CN" w:bidi="ar-SA"/>
        </w:rPr>
        <w:t>91.6</w:t>
      </w:r>
      <w:r>
        <w:rPr>
          <w:rFonts w:hint="eastAsia" w:ascii="仿宋_GB2312" w:hAnsi="仿宋_GB2312" w:eastAsia="仿宋_GB2312" w:cs="仿宋_GB2312"/>
          <w:b w:val="0"/>
          <w:bCs w:val="0"/>
          <w:kern w:val="0"/>
          <w:position w:val="0"/>
          <w:sz w:val="32"/>
          <w:szCs w:val="32"/>
          <w:highlight w:val="none"/>
          <w:lang w:val="en-US" w:eastAsia="zh-CN" w:bidi="ar-SA"/>
        </w:rPr>
        <w:t>分，项目实施范围、发放人数及标准均符合州级要求，并按照完成了项目资金拨付，资金使用率达</w:t>
      </w:r>
      <w:r>
        <w:rPr>
          <w:rFonts w:hint="eastAsia" w:ascii="仿宋_GB2312" w:hAnsi="仿宋_GB2312" w:cs="仿宋_GB2312"/>
          <w:b w:val="0"/>
          <w:bCs w:val="0"/>
          <w:kern w:val="0"/>
          <w:position w:val="0"/>
          <w:sz w:val="32"/>
          <w:szCs w:val="32"/>
          <w:highlight w:val="none"/>
          <w:lang w:val="en-US" w:eastAsia="zh-CN" w:bidi="ar-SA"/>
        </w:rPr>
        <w:t>28.79</w:t>
      </w:r>
      <w:r>
        <w:rPr>
          <w:rFonts w:hint="eastAsia" w:ascii="仿宋_GB2312" w:hAnsi="仿宋_GB2312" w:eastAsia="仿宋_GB2312" w:cs="仿宋_GB2312"/>
          <w:b w:val="0"/>
          <w:bCs w:val="0"/>
          <w:kern w:val="0"/>
          <w:position w:val="0"/>
          <w:sz w:val="32"/>
          <w:szCs w:val="32"/>
          <w:highlight w:val="none"/>
          <w:lang w:val="en-US" w:eastAsia="zh-CN" w:bidi="ar-SA"/>
        </w:rPr>
        <w:t>%。</w:t>
      </w:r>
    </w:p>
    <w:p>
      <w:pPr>
        <w:spacing w:line="580" w:lineRule="exact"/>
        <w:ind w:firstLine="642" w:firstLineChars="200"/>
        <w:rPr>
          <w:rFonts w:hint="eastAsia" w:eastAsia="仿宋_GB2312" w:cs="Times New Roman"/>
          <w:szCs w:val="32"/>
          <w:lang w:val="en-US" w:eastAsia="zh-CN"/>
        </w:rPr>
      </w:pPr>
      <w:r>
        <w:rPr>
          <w:rFonts w:hint="eastAsia" w:ascii="楷体_GB2312" w:hAnsi="宋体" w:eastAsia="楷体_GB2312"/>
          <w:b/>
          <w:color w:val="auto"/>
          <w:sz w:val="32"/>
          <w:szCs w:val="32"/>
          <w:highlight w:val="none"/>
          <w:u w:val="none"/>
          <w:lang w:val="zh-CN"/>
        </w:rPr>
        <w:t>（二）绩效分析</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项目决策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eastAsia="zh-CN"/>
        </w:rPr>
      </w:pPr>
      <w:r>
        <w:rPr>
          <w:rFonts w:hint="eastAsia" w:ascii="Times New Roman" w:hAnsi="Times New Roman" w:cs="Times New Roman"/>
          <w:color w:val="auto"/>
          <w:szCs w:val="32"/>
          <w:lang w:eastAsia="zh-CN"/>
        </w:rPr>
        <w:t>决策程序</w:t>
      </w:r>
      <w:r>
        <w:rPr>
          <w:rFonts w:hint="eastAsia" w:cs="Times New Roman"/>
          <w:color w:val="auto"/>
          <w:szCs w:val="32"/>
          <w:lang w:eastAsia="zh-CN"/>
        </w:rPr>
        <w:t>：项目设立、调整延续等方面符合资金管理基本规范和决策程序要求。项目设立依据《四川省卫生健康委员会关于印发四川省 2023 年中央财政补助艾滋病等重大传染病和地方病防治项目第一批资金实施方案的通知》（川卫重传函〔2023〕4 号）、《四川省卫生健康委员会关于印发四川省 2023 年中央财政补助艾滋病等重大传染病和地方病防治项目第二批资金实施方案的通知》（川卫重传函〔2023〕264 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eastAsia="zh-CN"/>
        </w:rPr>
      </w:pPr>
      <w:r>
        <w:rPr>
          <w:rFonts w:hint="eastAsia" w:ascii="Times New Roman" w:hAnsi="Times New Roman" w:cs="Times New Roman"/>
          <w:color w:val="auto"/>
          <w:szCs w:val="32"/>
          <w:lang w:eastAsia="zh-CN"/>
        </w:rPr>
        <w:t>规划论证</w:t>
      </w:r>
      <w:r>
        <w:rPr>
          <w:rFonts w:hint="eastAsia" w:cs="Times New Roman"/>
          <w:color w:val="auto"/>
          <w:szCs w:val="32"/>
          <w:lang w:eastAsia="zh-CN"/>
        </w:rPr>
        <w:t>：项目规划符合（川卫重传函〔2023〕4 号）、（川卫重传函〔2023〕264 号）文件要求；项目充分评估了论证项目立项必要性、前瞻性、合理性和可行性；项目总体绩效目标设置合理性的偏离度≤0%；绩效目标科学合理、规范完整、量化细化、预算匹配。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资金投向</w:t>
      </w:r>
      <w:r>
        <w:rPr>
          <w:rFonts w:hint="eastAsia" w:cs="Times New Roman"/>
          <w:color w:val="auto"/>
          <w:szCs w:val="32"/>
          <w:lang w:val="en-US" w:eastAsia="zh-CN"/>
        </w:rPr>
        <w:t>：该项目</w:t>
      </w:r>
      <w:r>
        <w:rPr>
          <w:rFonts w:hint="eastAsia" w:ascii="Times New Roman" w:hAnsi="Times New Roman" w:cs="Times New Roman"/>
          <w:color w:val="auto"/>
          <w:szCs w:val="32"/>
          <w:lang w:eastAsia="zh-CN"/>
        </w:rPr>
        <w:t>属于政府支持范围，且符合财政事权支出责任划分规定；资金投向与项目总体规划、相关行业事业发展相匹配；聚焦重大任务、重点领域、重点环节和重点项目，体现“集中财力办大事”原则；未与其他同类项目或部门内部相关项目交叉重复。</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eastAsia="zh-CN"/>
        </w:rPr>
      </w:pPr>
      <w:r>
        <w:rPr>
          <w:rFonts w:hint="eastAsia" w:cs="Times New Roman"/>
          <w:color w:val="auto"/>
          <w:szCs w:val="32"/>
          <w:lang w:eastAsia="zh-CN"/>
        </w:rPr>
        <w:t>资金分配情况：资金分配因素选取充分考虑相关行业事业发展实际和发展需求；资金分配因素的权重设置有效突出项目实施重点；资金区域分布结果公平合理。预算管理一体化有项目库；实行入库项目动态管理，按月、按季度开展动态监控；明确项目申报审核程序，按规定程序履行项目审批，项目申报符合上级要求。资金分配依据充分合理。资金分配严格按管理办法执行，决策程序符合管理要求，及时高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eastAsia="zh-CN"/>
        </w:rPr>
      </w:pPr>
      <w:r>
        <w:rPr>
          <w:rFonts w:hint="eastAsia" w:cs="Times New Roman"/>
          <w:color w:val="auto"/>
          <w:szCs w:val="32"/>
          <w:lang w:eastAsia="zh-CN"/>
        </w:rPr>
        <w:t>资金使用情况：项目资金使用、拨付符合国家财经法规、财务管理制度及有关专项资金管理制度办法规定和审批程序，不存在超范围、超标准、超进度使用专项资金，不存在资金损失浪费、长期沉淀、截留、挤占、挪用、虚列支出等情况。</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项目绩效</w:t>
      </w:r>
    </w:p>
    <w:p>
      <w:pPr>
        <w:spacing w:line="620" w:lineRule="exact"/>
        <w:ind w:firstLine="640" w:firstLineChars="200"/>
        <w:rPr>
          <w:rFonts w:hint="eastAsia"/>
          <w:lang w:val="en-US" w:eastAsia="zh-CN"/>
        </w:rPr>
      </w:pPr>
      <w:r>
        <w:rPr>
          <w:rFonts w:hint="eastAsia" w:ascii="仿宋_GB2312" w:cs="Times New Roman"/>
          <w:sz w:val="32"/>
          <w:szCs w:val="32"/>
          <w:lang w:val="en-US" w:eastAsia="zh-CN"/>
        </w:rPr>
        <w:t>项目目标完成情况如下：</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lang w:val="en-US" w:eastAsia="zh-CN"/>
        </w:rPr>
      </w:pPr>
      <w:r>
        <w:rPr>
          <w:rFonts w:hint="eastAsia" w:ascii="Times New Roman" w:hAnsi="Times New Roman" w:cs="Times New Roman"/>
          <w:sz w:val="32"/>
          <w:szCs w:val="32"/>
          <w:lang w:val="en-US" w:eastAsia="zh-CN"/>
        </w:rPr>
        <w:t>数量指标：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lang w:val="en-US" w:eastAsia="zh-CN"/>
        </w:rPr>
      </w:pPr>
      <w:r>
        <w:rPr>
          <w:rFonts w:hint="default"/>
          <w:lang w:val="en-US" w:eastAsia="zh-CN"/>
        </w:rPr>
        <w:t>肺结核患者成功治疗率</w:t>
      </w:r>
      <w:r>
        <w:rPr>
          <w:rFonts w:hint="eastAsia"/>
          <w:lang w:val="en-US" w:eastAsia="zh-CN"/>
        </w:rPr>
        <w:t>达到≥100%；</w:t>
      </w:r>
    </w:p>
    <w:p>
      <w:pPr>
        <w:pStyle w:val="2"/>
        <w:ind w:left="0" w:leftChars="0" w:firstLine="640" w:firstLineChars="200"/>
        <w:rPr>
          <w:rFonts w:hint="eastAsia"/>
          <w:lang w:val="en-US" w:eastAsia="zh-CN"/>
        </w:rPr>
      </w:pPr>
      <w:r>
        <w:rPr>
          <w:rFonts w:hint="default"/>
          <w:lang w:val="en-US" w:eastAsia="zh-CN"/>
        </w:rPr>
        <w:t>肺结核患者病原学阳性率</w:t>
      </w:r>
      <w:r>
        <w:rPr>
          <w:rFonts w:hint="eastAsia"/>
          <w:lang w:val="en-US" w:eastAsia="zh-CN"/>
        </w:rPr>
        <w:t>达到≥78.95%；</w:t>
      </w:r>
    </w:p>
    <w:p>
      <w:pPr>
        <w:pStyle w:val="2"/>
        <w:ind w:left="0" w:leftChars="0" w:firstLine="640" w:firstLineChars="200"/>
        <w:rPr>
          <w:rFonts w:hint="eastAsia"/>
          <w:lang w:val="en-US" w:eastAsia="zh-CN"/>
        </w:rPr>
      </w:pPr>
      <w:r>
        <w:rPr>
          <w:rFonts w:hint="default"/>
          <w:lang w:val="en-US" w:eastAsia="zh-CN"/>
        </w:rPr>
        <w:t>病原学阳性肺结核患者的密切接触者筛查率</w:t>
      </w:r>
      <w:r>
        <w:rPr>
          <w:rFonts w:hint="eastAsia"/>
          <w:lang w:val="en-US" w:eastAsia="zh-CN"/>
        </w:rPr>
        <w:t>达到≥95%；</w:t>
      </w:r>
    </w:p>
    <w:p>
      <w:pPr>
        <w:pStyle w:val="2"/>
        <w:ind w:left="0" w:leftChars="0" w:firstLine="640" w:firstLineChars="200"/>
        <w:rPr>
          <w:rFonts w:hint="eastAsia"/>
          <w:lang w:val="en-US" w:eastAsia="zh-CN"/>
        </w:rPr>
      </w:pPr>
      <w:r>
        <w:rPr>
          <w:rFonts w:hint="default"/>
          <w:lang w:val="en-US" w:eastAsia="zh-CN"/>
        </w:rPr>
        <w:t>耐多药肺结核高危人群筛查率</w:t>
      </w:r>
      <w:r>
        <w:rPr>
          <w:rFonts w:hint="eastAsia"/>
          <w:lang w:val="en-US" w:eastAsia="zh-CN"/>
        </w:rPr>
        <w:t>达到≥95%；</w:t>
      </w:r>
    </w:p>
    <w:p>
      <w:pPr>
        <w:pStyle w:val="2"/>
        <w:ind w:left="0" w:leftChars="0" w:firstLine="640" w:firstLineChars="200"/>
        <w:rPr>
          <w:rFonts w:hint="eastAsia"/>
          <w:lang w:val="en-US" w:eastAsia="zh-CN"/>
        </w:rPr>
      </w:pPr>
      <w:r>
        <w:rPr>
          <w:rFonts w:hint="default"/>
          <w:lang w:val="en-US" w:eastAsia="zh-CN"/>
        </w:rPr>
        <w:t>病原学阳性肺结核患者耐药筛查率</w:t>
      </w:r>
      <w:r>
        <w:rPr>
          <w:rFonts w:hint="eastAsia"/>
          <w:lang w:val="en-US" w:eastAsia="zh-CN"/>
        </w:rPr>
        <w:t>达到≥93.33%；</w:t>
      </w:r>
    </w:p>
    <w:p>
      <w:pPr>
        <w:pStyle w:val="2"/>
        <w:ind w:left="0" w:leftChars="0" w:firstLine="640" w:firstLineChars="200"/>
        <w:rPr>
          <w:rFonts w:hint="eastAsia"/>
          <w:lang w:val="en-US" w:eastAsia="zh-CN"/>
        </w:rPr>
      </w:pPr>
      <w:r>
        <w:rPr>
          <w:rFonts w:hint="default"/>
          <w:lang w:val="en-US" w:eastAsia="zh-CN"/>
        </w:rPr>
        <w:t>新生入学结核病检查比例</w:t>
      </w:r>
      <w:r>
        <w:rPr>
          <w:rFonts w:hint="eastAsia"/>
          <w:lang w:val="en-US" w:eastAsia="zh-CN"/>
        </w:rPr>
        <w:t>达到≥100%；</w:t>
      </w:r>
    </w:p>
    <w:p>
      <w:pPr>
        <w:pStyle w:val="2"/>
        <w:ind w:left="0" w:leftChars="0" w:firstLine="640" w:firstLineChars="200"/>
        <w:rPr>
          <w:rFonts w:hint="eastAsia"/>
          <w:lang w:val="en-US" w:eastAsia="zh-CN"/>
        </w:rPr>
      </w:pPr>
      <w:r>
        <w:rPr>
          <w:rFonts w:hint="eastAsia"/>
          <w:lang w:val="en-US" w:eastAsia="zh-CN"/>
        </w:rPr>
        <w:t>完成</w:t>
      </w:r>
      <w:r>
        <w:rPr>
          <w:rFonts w:hint="default"/>
          <w:lang w:val="en-US" w:eastAsia="zh-CN"/>
        </w:rPr>
        <w:t>艾滋病重点人群扩大检测</w:t>
      </w:r>
      <w:r>
        <w:rPr>
          <w:rFonts w:hint="eastAsia"/>
          <w:lang w:val="en-US" w:eastAsia="zh-CN"/>
        </w:rPr>
        <w:t>15706</w:t>
      </w:r>
      <w:r>
        <w:rPr>
          <w:rFonts w:hint="default"/>
          <w:lang w:val="en-US" w:eastAsia="zh-CN"/>
        </w:rPr>
        <w:t>人次</w:t>
      </w:r>
      <w:r>
        <w:rPr>
          <w:rFonts w:hint="eastAsia"/>
          <w:lang w:val="en-US" w:eastAsia="zh-CN"/>
        </w:rPr>
        <w:t>；</w:t>
      </w:r>
    </w:p>
    <w:p>
      <w:pPr>
        <w:pStyle w:val="2"/>
        <w:ind w:left="0" w:leftChars="0" w:firstLine="640" w:firstLineChars="200"/>
        <w:rPr>
          <w:rFonts w:hint="eastAsia"/>
          <w:lang w:val="en-US" w:eastAsia="zh-CN"/>
        </w:rPr>
      </w:pPr>
      <w:r>
        <w:rPr>
          <w:rFonts w:hint="eastAsia"/>
          <w:lang w:val="en-US" w:eastAsia="zh-CN"/>
        </w:rPr>
        <w:t>艾滋病血液样本核酸检测率达到≥92%；</w:t>
      </w:r>
    </w:p>
    <w:p>
      <w:pPr>
        <w:pStyle w:val="2"/>
        <w:ind w:left="0" w:leftChars="0" w:firstLine="640" w:firstLineChars="200"/>
        <w:rPr>
          <w:rFonts w:hint="eastAsia"/>
          <w:lang w:val="en-US" w:eastAsia="zh-CN"/>
        </w:rPr>
      </w:pPr>
      <w:r>
        <w:rPr>
          <w:rFonts w:hint="default"/>
          <w:lang w:val="en-US" w:eastAsia="zh-CN"/>
        </w:rPr>
        <w:t>适龄儿童建证率</w:t>
      </w:r>
      <w:r>
        <w:rPr>
          <w:rFonts w:hint="eastAsia"/>
          <w:lang w:val="en-US" w:eastAsia="zh-CN"/>
        </w:rPr>
        <w:t>达到≥100%；</w:t>
      </w:r>
    </w:p>
    <w:p>
      <w:pPr>
        <w:pStyle w:val="2"/>
        <w:ind w:left="0" w:leftChars="0" w:firstLine="640" w:firstLineChars="200"/>
        <w:rPr>
          <w:rFonts w:hint="eastAsia"/>
          <w:lang w:val="en-US" w:eastAsia="zh-CN"/>
        </w:rPr>
      </w:pPr>
      <w:r>
        <w:rPr>
          <w:rFonts w:hint="default"/>
          <w:lang w:val="en-US" w:eastAsia="zh-CN"/>
        </w:rPr>
        <w:t>乙肝疫苗首针及时接种率</w:t>
      </w:r>
      <w:r>
        <w:rPr>
          <w:rFonts w:hint="eastAsia"/>
          <w:lang w:val="en-US" w:eastAsia="zh-CN"/>
        </w:rPr>
        <w:t>≥60%（未完成指标70%）；</w:t>
      </w:r>
    </w:p>
    <w:p>
      <w:pPr>
        <w:pStyle w:val="2"/>
        <w:ind w:left="0" w:leftChars="0" w:firstLine="640" w:firstLineChars="200"/>
        <w:rPr>
          <w:rFonts w:hint="eastAsia"/>
          <w:lang w:val="en-US" w:eastAsia="zh-CN"/>
        </w:rPr>
      </w:pPr>
      <w:r>
        <w:rPr>
          <w:rFonts w:hint="default"/>
          <w:lang w:val="en-US" w:eastAsia="zh-CN"/>
        </w:rPr>
        <w:t>适龄儿童建档率</w:t>
      </w:r>
      <w:r>
        <w:rPr>
          <w:rFonts w:hint="eastAsia"/>
          <w:lang w:val="en-US" w:eastAsia="zh-CN"/>
        </w:rPr>
        <w:t>达到≥90%；</w:t>
      </w:r>
    </w:p>
    <w:p>
      <w:pPr>
        <w:pStyle w:val="2"/>
        <w:ind w:left="0" w:leftChars="0" w:firstLine="640" w:firstLineChars="200"/>
        <w:rPr>
          <w:rFonts w:hint="eastAsia"/>
          <w:lang w:val="en-US" w:eastAsia="zh-CN"/>
        </w:rPr>
      </w:pPr>
      <w:r>
        <w:rPr>
          <w:rFonts w:hint="default"/>
          <w:lang w:val="en-US" w:eastAsia="zh-CN"/>
        </w:rPr>
        <w:t>适龄儿童国家免疫规划疫苗接种率</w:t>
      </w:r>
      <w:r>
        <w:rPr>
          <w:rFonts w:hint="eastAsia"/>
          <w:lang w:val="en-US" w:eastAsia="zh-CN"/>
        </w:rPr>
        <w:t>达到≥90%；</w:t>
      </w:r>
    </w:p>
    <w:p>
      <w:pPr>
        <w:pStyle w:val="2"/>
        <w:ind w:left="0" w:leftChars="0" w:firstLine="640" w:firstLineChars="200"/>
        <w:rPr>
          <w:rFonts w:hint="eastAsia"/>
          <w:lang w:val="en-US" w:eastAsia="zh-CN"/>
        </w:rPr>
      </w:pPr>
      <w:r>
        <w:rPr>
          <w:rFonts w:hint="default"/>
          <w:lang w:val="en-US" w:eastAsia="zh-CN"/>
        </w:rPr>
        <w:t>入托入学查验补种率</w:t>
      </w:r>
      <w:r>
        <w:rPr>
          <w:rFonts w:hint="eastAsia"/>
          <w:lang w:val="en-US" w:eastAsia="zh-CN"/>
        </w:rPr>
        <w:t>达到≥90%；</w:t>
      </w:r>
    </w:p>
    <w:p>
      <w:pPr>
        <w:pStyle w:val="2"/>
        <w:ind w:left="0" w:leftChars="0" w:firstLine="640" w:firstLineChars="200"/>
        <w:rPr>
          <w:rFonts w:hint="eastAsia"/>
          <w:lang w:val="en-US" w:eastAsia="zh-CN"/>
        </w:rPr>
      </w:pPr>
      <w:r>
        <w:rPr>
          <w:rFonts w:hint="eastAsia"/>
          <w:lang w:val="en-US" w:eastAsia="zh-CN"/>
        </w:rPr>
        <w:t>完成包虫病血清学辅助诊断20人次；</w:t>
      </w:r>
    </w:p>
    <w:p>
      <w:pPr>
        <w:pStyle w:val="2"/>
        <w:ind w:left="0" w:leftChars="0" w:firstLine="640" w:firstLineChars="200"/>
        <w:rPr>
          <w:rFonts w:hint="eastAsia"/>
          <w:lang w:val="en-US" w:eastAsia="zh-CN"/>
        </w:rPr>
      </w:pPr>
      <w:r>
        <w:rPr>
          <w:rFonts w:hint="eastAsia"/>
          <w:lang w:val="en-US" w:eastAsia="zh-CN"/>
        </w:rPr>
        <w:t>包虫病B超筛查任务完成率达到≥85%；</w:t>
      </w:r>
    </w:p>
    <w:p>
      <w:pPr>
        <w:pStyle w:val="2"/>
        <w:ind w:left="0" w:leftChars="0" w:firstLine="640" w:firstLineChars="200"/>
        <w:rPr>
          <w:rFonts w:hint="eastAsia"/>
          <w:lang w:val="en-US" w:eastAsia="zh-CN"/>
        </w:rPr>
      </w:pPr>
      <w:r>
        <w:rPr>
          <w:rFonts w:hint="default"/>
          <w:lang w:val="en-US" w:eastAsia="zh-CN"/>
        </w:rPr>
        <w:t>包虫病家犬犬粪检测任务完成率</w:t>
      </w:r>
      <w:r>
        <w:rPr>
          <w:rFonts w:hint="eastAsia"/>
          <w:lang w:val="en-US" w:eastAsia="zh-CN"/>
        </w:rPr>
        <w:t>达到≥85%；</w:t>
      </w:r>
    </w:p>
    <w:p>
      <w:pPr>
        <w:pStyle w:val="2"/>
        <w:ind w:left="0" w:leftChars="0" w:firstLine="640" w:firstLineChars="200"/>
        <w:rPr>
          <w:rFonts w:hint="eastAsia"/>
          <w:lang w:val="en-US" w:eastAsia="zh-CN"/>
        </w:rPr>
      </w:pPr>
      <w:r>
        <w:rPr>
          <w:rFonts w:hint="eastAsia"/>
          <w:lang w:val="en-US" w:eastAsia="zh-CN"/>
        </w:rPr>
        <w:t>包虫病监测点任务完成率达到≥90%；</w:t>
      </w:r>
    </w:p>
    <w:p>
      <w:pPr>
        <w:pStyle w:val="2"/>
        <w:ind w:left="0" w:leftChars="0" w:firstLine="640" w:firstLineChars="200"/>
        <w:rPr>
          <w:rFonts w:hint="eastAsia"/>
          <w:lang w:val="en-US" w:eastAsia="zh-CN"/>
        </w:rPr>
      </w:pPr>
      <w:r>
        <w:rPr>
          <w:rFonts w:hint="eastAsia"/>
          <w:lang w:val="en-US" w:eastAsia="zh-CN"/>
        </w:rPr>
        <w:t>完成</w:t>
      </w:r>
      <w:r>
        <w:rPr>
          <w:rFonts w:hint="default"/>
          <w:lang w:val="en-US" w:eastAsia="zh-CN"/>
        </w:rPr>
        <w:t>全县内学生近视及健康体检任务数</w:t>
      </w:r>
      <w:r>
        <w:rPr>
          <w:rFonts w:hint="eastAsia"/>
          <w:lang w:val="en-US" w:eastAsia="zh-CN"/>
        </w:rPr>
        <w:t>1200人；</w:t>
      </w:r>
    </w:p>
    <w:p>
      <w:pPr>
        <w:pStyle w:val="2"/>
        <w:ind w:left="0" w:leftChars="0" w:firstLine="640" w:firstLineChars="200"/>
        <w:rPr>
          <w:rFonts w:hint="default"/>
          <w:lang w:val="en-US" w:eastAsia="zh-CN"/>
        </w:rPr>
      </w:pPr>
      <w:r>
        <w:rPr>
          <w:rFonts w:hint="eastAsia"/>
          <w:lang w:val="en-US" w:eastAsia="zh-CN"/>
        </w:rPr>
        <w:t>完成</w:t>
      </w:r>
      <w:r>
        <w:rPr>
          <w:rFonts w:hint="default"/>
          <w:lang w:val="en-US" w:eastAsia="zh-CN"/>
        </w:rPr>
        <w:t>城乡饮用水水质监测任务数</w:t>
      </w:r>
      <w:r>
        <w:rPr>
          <w:rFonts w:hint="eastAsia"/>
          <w:lang w:val="en-US" w:eastAsia="zh-CN"/>
        </w:rPr>
        <w:t>104个；</w:t>
      </w:r>
    </w:p>
    <w:p>
      <w:pPr>
        <w:pStyle w:val="2"/>
        <w:ind w:left="0" w:leftChars="0" w:firstLine="640" w:firstLineChars="200"/>
        <w:rPr>
          <w:rFonts w:hint="eastAsia"/>
          <w:lang w:val="en-US" w:eastAsia="zh-CN"/>
        </w:rPr>
      </w:pPr>
      <w:r>
        <w:rPr>
          <w:rFonts w:hint="eastAsia"/>
          <w:lang w:val="en-US" w:eastAsia="zh-CN"/>
        </w:rPr>
        <w:t>质量指标：</w:t>
      </w:r>
    </w:p>
    <w:p>
      <w:pPr>
        <w:pStyle w:val="2"/>
        <w:ind w:left="0" w:leftChars="0" w:firstLine="640" w:firstLineChars="200"/>
        <w:rPr>
          <w:rFonts w:hint="eastAsia"/>
          <w:lang w:val="en-US" w:eastAsia="zh-CN"/>
        </w:rPr>
      </w:pPr>
      <w:r>
        <w:rPr>
          <w:rFonts w:hint="eastAsia"/>
          <w:lang w:val="en-US" w:eastAsia="zh-CN"/>
        </w:rPr>
        <w:t>艾滋病应补充完成治疗20人；</w:t>
      </w:r>
    </w:p>
    <w:p>
      <w:pPr>
        <w:pStyle w:val="2"/>
        <w:ind w:left="0" w:leftChars="0" w:firstLine="640" w:firstLineChars="200"/>
        <w:rPr>
          <w:rFonts w:hint="eastAsia"/>
          <w:lang w:val="en-US" w:eastAsia="zh-CN"/>
        </w:rPr>
      </w:pPr>
      <w:r>
        <w:rPr>
          <w:rFonts w:hint="default"/>
          <w:lang w:val="en-US" w:eastAsia="zh-CN"/>
        </w:rPr>
        <w:t>艾滋病规范化随访干预比例</w:t>
      </w:r>
      <w:r>
        <w:rPr>
          <w:rFonts w:hint="eastAsia"/>
          <w:lang w:val="en-US" w:eastAsia="zh-CN"/>
        </w:rPr>
        <w:t>达到≥94%；</w:t>
      </w:r>
    </w:p>
    <w:p>
      <w:pPr>
        <w:pStyle w:val="2"/>
        <w:ind w:left="0" w:leftChars="0" w:firstLine="640" w:firstLineChars="200"/>
        <w:rPr>
          <w:rFonts w:hint="eastAsia"/>
          <w:lang w:val="en-US" w:eastAsia="zh-CN"/>
        </w:rPr>
      </w:pPr>
      <w:r>
        <w:rPr>
          <w:rFonts w:hint="eastAsia"/>
          <w:lang w:val="en-US" w:eastAsia="zh-CN"/>
        </w:rPr>
        <w:t>重点疫苗针对传染病监测达到≥100%；</w:t>
      </w:r>
    </w:p>
    <w:p>
      <w:pPr>
        <w:pStyle w:val="2"/>
        <w:ind w:left="0" w:leftChars="0" w:firstLine="640" w:firstLineChars="200"/>
        <w:rPr>
          <w:rFonts w:hint="eastAsia"/>
          <w:lang w:val="en-US" w:eastAsia="zh-CN"/>
        </w:rPr>
      </w:pPr>
      <w:r>
        <w:rPr>
          <w:rFonts w:hint="default"/>
          <w:lang w:val="en-US" w:eastAsia="zh-CN"/>
        </w:rPr>
        <w:t>疫苗针对传染病监测完成率</w:t>
      </w:r>
      <w:r>
        <w:rPr>
          <w:rFonts w:hint="eastAsia"/>
          <w:lang w:val="en-US" w:eastAsia="zh-CN"/>
        </w:rPr>
        <w:t>达到≥100%；</w:t>
      </w:r>
    </w:p>
    <w:p>
      <w:pPr>
        <w:pStyle w:val="2"/>
        <w:ind w:left="0" w:leftChars="0" w:firstLine="640" w:firstLineChars="200"/>
        <w:rPr>
          <w:rFonts w:hint="eastAsia"/>
          <w:lang w:val="en-US" w:eastAsia="zh-CN"/>
        </w:rPr>
      </w:pPr>
      <w:r>
        <w:rPr>
          <w:rFonts w:hint="eastAsia"/>
          <w:lang w:val="en-US" w:eastAsia="zh-CN"/>
        </w:rPr>
        <w:t>加强疫苗信息化管理，实现疫苗扫码出入库、扫码接种率达到≥100%；</w:t>
      </w:r>
    </w:p>
    <w:p>
      <w:pPr>
        <w:pStyle w:val="2"/>
        <w:ind w:left="0" w:leftChars="0" w:firstLine="640" w:firstLineChars="200"/>
        <w:rPr>
          <w:rFonts w:hint="eastAsia"/>
          <w:lang w:val="en-US" w:eastAsia="zh-CN"/>
        </w:rPr>
      </w:pPr>
      <w:r>
        <w:rPr>
          <w:rFonts w:hint="eastAsia"/>
          <w:lang w:val="en-US" w:eastAsia="zh-CN"/>
        </w:rPr>
        <w:t>疑似预防接种异常反应规范处置率达到≥100%；</w:t>
      </w:r>
    </w:p>
    <w:p>
      <w:pPr>
        <w:pStyle w:val="2"/>
        <w:ind w:left="0" w:leftChars="0" w:firstLine="640" w:firstLineChars="200"/>
        <w:rPr>
          <w:rFonts w:hint="eastAsia"/>
          <w:lang w:val="en-US" w:eastAsia="zh-CN"/>
        </w:rPr>
      </w:pPr>
      <w:r>
        <w:rPr>
          <w:rFonts w:hint="eastAsia"/>
          <w:lang w:val="en-US" w:eastAsia="zh-CN"/>
        </w:rPr>
        <w:t>适龄儿童纳入信息系统管理率达到≥100%；</w:t>
      </w:r>
    </w:p>
    <w:p>
      <w:pPr>
        <w:pStyle w:val="2"/>
        <w:ind w:left="0" w:leftChars="0" w:firstLine="640" w:firstLineChars="200"/>
        <w:rPr>
          <w:rFonts w:hint="eastAsia"/>
          <w:lang w:val="en-US" w:eastAsia="zh-CN"/>
        </w:rPr>
      </w:pPr>
      <w:r>
        <w:rPr>
          <w:rFonts w:hint="eastAsia"/>
          <w:lang w:val="en-US" w:eastAsia="zh-CN"/>
        </w:rPr>
        <w:t>麻风病病人随访及管理20人；</w:t>
      </w:r>
    </w:p>
    <w:p>
      <w:pPr>
        <w:pStyle w:val="2"/>
        <w:ind w:left="0" w:leftChars="0" w:firstLine="640" w:firstLineChars="200"/>
        <w:rPr>
          <w:rFonts w:hint="default"/>
          <w:lang w:val="en-US" w:eastAsia="zh-CN"/>
        </w:rPr>
      </w:pPr>
      <w:r>
        <w:rPr>
          <w:rFonts w:hint="eastAsia"/>
          <w:lang w:val="en-US" w:eastAsia="zh-CN"/>
        </w:rPr>
        <w:t>项目效益情况如下：</w:t>
      </w:r>
    </w:p>
    <w:p>
      <w:pPr>
        <w:pStyle w:val="2"/>
        <w:ind w:left="0" w:leftChars="0" w:firstLine="640" w:firstLineChars="200"/>
        <w:rPr>
          <w:rFonts w:hint="eastAsia"/>
          <w:lang w:val="en-US" w:eastAsia="zh-CN"/>
        </w:rPr>
      </w:pPr>
      <w:r>
        <w:rPr>
          <w:rFonts w:hint="eastAsia"/>
          <w:lang w:val="en-US" w:eastAsia="zh-CN"/>
        </w:rPr>
        <w:t>可持续发展指标：</w:t>
      </w:r>
    </w:p>
    <w:p>
      <w:pPr>
        <w:pStyle w:val="2"/>
        <w:ind w:left="0" w:leftChars="0" w:firstLine="640" w:firstLineChars="200"/>
        <w:rPr>
          <w:rFonts w:hint="eastAsia"/>
          <w:lang w:val="en-US" w:eastAsia="zh-CN"/>
        </w:rPr>
      </w:pPr>
      <w:r>
        <w:rPr>
          <w:rFonts w:hint="eastAsia"/>
          <w:lang w:val="en-US" w:eastAsia="zh-CN"/>
        </w:rPr>
        <w:t>群众对政策知晓率达到90%；</w:t>
      </w:r>
    </w:p>
    <w:p>
      <w:pPr>
        <w:pStyle w:val="2"/>
        <w:ind w:left="0" w:leftChars="0" w:firstLine="640" w:firstLineChars="200"/>
        <w:rPr>
          <w:rFonts w:hint="eastAsia"/>
          <w:lang w:val="en-US" w:eastAsia="zh-CN"/>
        </w:rPr>
      </w:pPr>
      <w:r>
        <w:rPr>
          <w:rFonts w:hint="eastAsia"/>
          <w:lang w:val="en-US" w:eastAsia="zh-CN"/>
        </w:rPr>
        <w:t>时效指标：</w:t>
      </w:r>
    </w:p>
    <w:p>
      <w:pPr>
        <w:pStyle w:val="2"/>
        <w:ind w:left="0" w:leftChars="0" w:firstLine="640" w:firstLineChars="200"/>
        <w:rPr>
          <w:rFonts w:hint="default"/>
          <w:lang w:val="en-US" w:eastAsia="zh-CN"/>
        </w:rPr>
      </w:pPr>
      <w:r>
        <w:rPr>
          <w:rFonts w:hint="eastAsia"/>
          <w:lang w:val="en-US" w:eastAsia="zh-CN"/>
        </w:rPr>
        <w:t>在2023年底前完成了目标任务。</w:t>
      </w:r>
    </w:p>
    <w:p>
      <w:pPr>
        <w:pStyle w:val="2"/>
        <w:ind w:left="0" w:leftChars="0" w:firstLine="640" w:firstLineChars="200"/>
        <w:rPr>
          <w:rFonts w:hint="eastAsia"/>
          <w:lang w:val="en-US" w:eastAsia="zh-CN"/>
        </w:rPr>
      </w:pPr>
      <w:r>
        <w:rPr>
          <w:rFonts w:hint="eastAsia"/>
          <w:lang w:val="en-US" w:eastAsia="zh-CN"/>
        </w:rPr>
        <w:t>满意度指标：</w:t>
      </w:r>
    </w:p>
    <w:p>
      <w:pPr>
        <w:pStyle w:val="2"/>
        <w:ind w:left="0" w:leftChars="0" w:firstLine="640" w:firstLineChars="200"/>
        <w:rPr>
          <w:rFonts w:hint="default"/>
          <w:lang w:val="en-US" w:eastAsia="zh-CN"/>
        </w:rPr>
      </w:pPr>
      <w:r>
        <w:rPr>
          <w:rFonts w:hint="default"/>
          <w:lang w:val="en-US" w:eastAsia="zh-CN"/>
        </w:rPr>
        <w:t>预防接种儿童家长满意度</w:t>
      </w:r>
      <w:r>
        <w:rPr>
          <w:rFonts w:hint="eastAsia"/>
          <w:lang w:val="en-US" w:eastAsia="zh-CN"/>
        </w:rPr>
        <w:t>达到100%；</w:t>
      </w:r>
    </w:p>
    <w:p>
      <w:pPr>
        <w:keepNext w:val="0"/>
        <w:keepLines w:val="0"/>
        <w:pageBreakBefore w:val="0"/>
        <w:widowControl/>
        <w:numPr>
          <w:ilvl w:val="0"/>
          <w:numId w:val="1"/>
        </w:numPr>
        <w:kinsoku/>
        <w:wordWrap/>
        <w:overflowPunct/>
        <w:topLinePunct w:val="0"/>
        <w:autoSpaceDE/>
        <w:autoSpaceDN/>
        <w:bidi w:val="0"/>
        <w:spacing w:line="578" w:lineRule="exact"/>
        <w:ind w:left="0" w:leftChars="0" w:firstLine="642" w:firstLineChars="200"/>
        <w:contextualSpacing/>
        <w:jc w:val="both"/>
        <w:textAlignment w:val="auto"/>
        <w:outlineLvl w:val="9"/>
        <w:rPr>
          <w:rFonts w:hint="eastAsia" w:ascii="楷体_GB2312" w:hAnsi="宋体" w:eastAsia="楷体_GB2312"/>
          <w:b/>
          <w:color w:val="auto"/>
          <w:sz w:val="32"/>
          <w:szCs w:val="32"/>
          <w:highlight w:val="none"/>
          <w:u w:val="none"/>
          <w:lang w:val="zh-CN" w:eastAsia="zh-CN"/>
        </w:rPr>
      </w:pPr>
      <w:r>
        <w:rPr>
          <w:rFonts w:hint="eastAsia" w:ascii="楷体_GB2312" w:hAnsi="宋体" w:eastAsia="楷体_GB2312"/>
          <w:b/>
          <w:color w:val="auto"/>
          <w:sz w:val="32"/>
          <w:szCs w:val="32"/>
          <w:highlight w:val="none"/>
          <w:u w:val="none"/>
          <w:lang w:val="zh-CN" w:eastAsia="zh-CN"/>
        </w:rPr>
        <w:t>存在主要问题</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Times New Roman" w:hAnsi="Times New Roman" w:cs="Times New Roman"/>
          <w:color w:val="auto"/>
          <w:szCs w:val="32"/>
          <w:lang w:val="en-US" w:eastAsia="zh-CN"/>
        </w:rPr>
        <w:t>项目资金下达标准与实际使用严重不符。项目资金明细表明确了项目资金使用标准及范围，中心相关工作人员已经按照项目目标开展工作，并完成了各项项目指标任务。但因开展项目工作的人员大部分均属于在职在编人员，无法将下达的项目资金用于发放工作人员补助。导致项目内容已实施完毕，仍有大部分项目资金净结余，资金执行率不高。</w:t>
      </w:r>
    </w:p>
    <w:p>
      <w:pPr>
        <w:keepNext w:val="0"/>
        <w:keepLines w:val="0"/>
        <w:pageBreakBefore w:val="0"/>
        <w:widowControl/>
        <w:numPr>
          <w:ilvl w:val="0"/>
          <w:numId w:val="1"/>
        </w:numPr>
        <w:kinsoku/>
        <w:wordWrap/>
        <w:overflowPunct/>
        <w:topLinePunct w:val="0"/>
        <w:autoSpaceDE/>
        <w:autoSpaceDN/>
        <w:bidi w:val="0"/>
        <w:spacing w:line="578" w:lineRule="exact"/>
        <w:ind w:left="0" w:leftChars="0" w:firstLine="642" w:firstLineChars="200"/>
        <w:contextualSpacing/>
        <w:jc w:val="both"/>
        <w:textAlignment w:val="auto"/>
        <w:outlineLvl w:val="9"/>
        <w:rPr>
          <w:rFonts w:hint="eastAsia" w:ascii="楷体_GB2312" w:hAnsi="宋体" w:eastAsia="楷体_GB2312"/>
          <w:b/>
          <w:color w:val="auto"/>
          <w:sz w:val="32"/>
          <w:szCs w:val="32"/>
          <w:highlight w:val="none"/>
          <w:u w:val="none"/>
          <w:lang w:val="zh-CN" w:eastAsia="zh-CN"/>
        </w:rPr>
      </w:pPr>
      <w:r>
        <w:rPr>
          <w:rFonts w:hint="eastAsia" w:ascii="楷体_GB2312" w:hAnsi="宋体" w:eastAsia="楷体_GB2312"/>
          <w:b/>
          <w:color w:val="auto"/>
          <w:sz w:val="32"/>
          <w:szCs w:val="32"/>
          <w:highlight w:val="none"/>
          <w:u w:val="none"/>
          <w:lang w:val="zh-CN" w:eastAsia="zh-CN"/>
        </w:rPr>
        <w:t>相关措施建议</w:t>
      </w:r>
    </w:p>
    <w:p>
      <w:pPr>
        <w:numPr>
          <w:ilvl w:val="0"/>
          <w:numId w:val="0"/>
        </w:numPr>
        <w:ind w:firstLine="640" w:firstLineChars="200"/>
        <w:jc w:val="left"/>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下达项目资金时，应共同考量服务对象人数及开展工作量，并允许项目有小部分净结余资金。</w:t>
      </w:r>
    </w:p>
    <w:p>
      <w:pPr>
        <w:pStyle w:val="2"/>
        <w:rPr>
          <w:rFonts w:hint="eastAsia" w:ascii="Times New Roman" w:hAnsi="Times New Roman" w:cs="Times New Roman"/>
          <w:color w:val="auto"/>
          <w:szCs w:val="32"/>
          <w:lang w:val="en-US" w:eastAsia="zh-CN"/>
        </w:rPr>
      </w:pPr>
    </w:p>
    <w:p>
      <w:pPr>
        <w:rPr>
          <w:rFonts w:hint="eastAsia" w:ascii="Times New Roman" w:hAnsi="Times New Roman" w:cs="Times New Roman"/>
          <w:color w:val="auto"/>
          <w:szCs w:val="32"/>
          <w:lang w:val="en-US" w:eastAsia="zh-CN"/>
        </w:rPr>
      </w:pPr>
    </w:p>
    <w:p>
      <w:pPr>
        <w:pStyle w:val="2"/>
        <w:rPr>
          <w:rFonts w:hint="eastAsia" w:ascii="Times New Roman" w:hAnsi="Times New Roman" w:cs="Times New Roman"/>
          <w:color w:val="auto"/>
          <w:szCs w:val="32"/>
          <w:lang w:val="en-US" w:eastAsia="zh-CN"/>
        </w:rPr>
      </w:pPr>
    </w:p>
    <w:p>
      <w:pPr>
        <w:ind w:firstLine="4800" w:firstLineChars="1500"/>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黑水疾病预防控制中心</w:t>
      </w:r>
    </w:p>
    <w:p>
      <w:pPr>
        <w:pStyle w:val="2"/>
        <w:ind w:left="1280" w:leftChars="400" w:firstLine="3840" w:firstLineChars="1200"/>
        <w:rPr>
          <w:rFonts w:hint="default"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2024年9月2</w:t>
      </w:r>
      <w:r>
        <w:rPr>
          <w:rFonts w:hint="eastAsia" w:ascii="仿宋_GB2312" w:hAnsi="宋体" w:cs="宋体"/>
          <w:color w:val="333333"/>
          <w:kern w:val="0"/>
          <w:sz w:val="32"/>
          <w:szCs w:val="32"/>
          <w:lang w:val="en-US" w:eastAsia="zh-CN" w:bidi="ar-SA"/>
        </w:rPr>
        <w:t>3</w:t>
      </w:r>
      <w:r>
        <w:rPr>
          <w:rFonts w:hint="eastAsia" w:ascii="仿宋_GB2312" w:hAnsi="宋体" w:eastAsia="仿宋_GB2312" w:cs="宋体"/>
          <w:color w:val="333333"/>
          <w:kern w:val="0"/>
          <w:sz w:val="32"/>
          <w:szCs w:val="32"/>
          <w:lang w:val="en-US" w:eastAsia="zh-CN" w:bidi="ar-SA"/>
        </w:rPr>
        <w:t>日</w:t>
      </w:r>
    </w:p>
    <w:p>
      <w:pPr>
        <w:rPr>
          <w:rFonts w:hint="default"/>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简体">
    <w:altName w:val="方正小标宋_GBK"/>
    <w:panose1 w:val="02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5FD0"/>
    <w:multiLevelType w:val="singleLevel"/>
    <w:tmpl w:val="A1825FD0"/>
    <w:lvl w:ilvl="0" w:tentative="0">
      <w:start w:val="2"/>
      <w:numFmt w:val="chineseCounting"/>
      <w:suff w:val="nothing"/>
      <w:lvlText w:val="（%1）"/>
      <w:lvlJc w:val="left"/>
      <w:pPr>
        <w:ind w:left="-3"/>
      </w:pPr>
      <w:rPr>
        <w:rFonts w:hint="eastAsia"/>
      </w:rPr>
    </w:lvl>
  </w:abstractNum>
  <w:abstractNum w:abstractNumId="1">
    <w:nsid w:val="F5F38A6D"/>
    <w:multiLevelType w:val="singleLevel"/>
    <w:tmpl w:val="F5F38A6D"/>
    <w:lvl w:ilvl="0" w:tentative="0">
      <w:start w:val="1"/>
      <w:numFmt w:val="decimal"/>
      <w:lvlText w:val="%1."/>
      <w:lvlJc w:val="left"/>
      <w:pPr>
        <w:tabs>
          <w:tab w:val="left" w:pos="312"/>
        </w:tabs>
      </w:pPr>
    </w:lvl>
  </w:abstractNum>
  <w:abstractNum w:abstractNumId="2">
    <w:nsid w:val="5FA6E60A"/>
    <w:multiLevelType w:val="singleLevel"/>
    <w:tmpl w:val="5FA6E60A"/>
    <w:lvl w:ilvl="0" w:tentative="0">
      <w:start w:val="1"/>
      <w:numFmt w:val="decimal"/>
      <w:suff w:val="nothing"/>
      <w:lvlText w:val="（%1）"/>
      <w:lvlJc w:val="left"/>
    </w:lvl>
  </w:abstractNum>
  <w:abstractNum w:abstractNumId="3">
    <w:nsid w:val="6DAAAA0C"/>
    <w:multiLevelType w:val="singleLevel"/>
    <w:tmpl w:val="6DAAAA0C"/>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ZDlkNjg5NWVkNWU2ZDNmZGZjYjczNjZmMTIwMmYifQ=="/>
  </w:docVars>
  <w:rsids>
    <w:rsidRoot w:val="771D4D51"/>
    <w:rsid w:val="004E2611"/>
    <w:rsid w:val="023F4471"/>
    <w:rsid w:val="04627ED9"/>
    <w:rsid w:val="05BC1F54"/>
    <w:rsid w:val="064B4A14"/>
    <w:rsid w:val="066A6BA6"/>
    <w:rsid w:val="067B5CB7"/>
    <w:rsid w:val="07227327"/>
    <w:rsid w:val="075F5112"/>
    <w:rsid w:val="07B8649C"/>
    <w:rsid w:val="08BA7084"/>
    <w:rsid w:val="08F31FA8"/>
    <w:rsid w:val="093D1475"/>
    <w:rsid w:val="09BD49A0"/>
    <w:rsid w:val="09EC5DFC"/>
    <w:rsid w:val="0A3556DC"/>
    <w:rsid w:val="0C4C1987"/>
    <w:rsid w:val="0C8024E5"/>
    <w:rsid w:val="0CAF45C3"/>
    <w:rsid w:val="0DB5782C"/>
    <w:rsid w:val="0DCB704F"/>
    <w:rsid w:val="0E4B5059"/>
    <w:rsid w:val="10CD7582"/>
    <w:rsid w:val="12502A37"/>
    <w:rsid w:val="12FC2A65"/>
    <w:rsid w:val="13017D55"/>
    <w:rsid w:val="13A52FFE"/>
    <w:rsid w:val="14095BDD"/>
    <w:rsid w:val="14627520"/>
    <w:rsid w:val="14C37B54"/>
    <w:rsid w:val="14D26F15"/>
    <w:rsid w:val="151A249D"/>
    <w:rsid w:val="15E74C42"/>
    <w:rsid w:val="16C37E4B"/>
    <w:rsid w:val="1705454C"/>
    <w:rsid w:val="18623210"/>
    <w:rsid w:val="18737BB2"/>
    <w:rsid w:val="19102702"/>
    <w:rsid w:val="19C37774"/>
    <w:rsid w:val="1B8C3E41"/>
    <w:rsid w:val="1C25106F"/>
    <w:rsid w:val="1CFD8DF6"/>
    <w:rsid w:val="1F865520"/>
    <w:rsid w:val="1FFF9AD9"/>
    <w:rsid w:val="20681973"/>
    <w:rsid w:val="21BB75C2"/>
    <w:rsid w:val="226F1B0F"/>
    <w:rsid w:val="22A504AE"/>
    <w:rsid w:val="22AD555F"/>
    <w:rsid w:val="231E77CA"/>
    <w:rsid w:val="246833F2"/>
    <w:rsid w:val="249064A5"/>
    <w:rsid w:val="251E1267"/>
    <w:rsid w:val="253B084F"/>
    <w:rsid w:val="26451C3D"/>
    <w:rsid w:val="269F171D"/>
    <w:rsid w:val="26CF2DB3"/>
    <w:rsid w:val="26E7337B"/>
    <w:rsid w:val="270D25C0"/>
    <w:rsid w:val="27F16796"/>
    <w:rsid w:val="29244571"/>
    <w:rsid w:val="29515A95"/>
    <w:rsid w:val="29C340E9"/>
    <w:rsid w:val="2A241B69"/>
    <w:rsid w:val="2AF86ED7"/>
    <w:rsid w:val="2AFDF212"/>
    <w:rsid w:val="2B385C88"/>
    <w:rsid w:val="2B6BF484"/>
    <w:rsid w:val="2BF84775"/>
    <w:rsid w:val="2C1A22FA"/>
    <w:rsid w:val="2C6B6EB6"/>
    <w:rsid w:val="2F634EE2"/>
    <w:rsid w:val="2FD21E0F"/>
    <w:rsid w:val="2FFF7DE7"/>
    <w:rsid w:val="31EC5018"/>
    <w:rsid w:val="324965E4"/>
    <w:rsid w:val="326F1DF0"/>
    <w:rsid w:val="332C1A8F"/>
    <w:rsid w:val="33F748AD"/>
    <w:rsid w:val="34C603ED"/>
    <w:rsid w:val="353F1F4D"/>
    <w:rsid w:val="35874596"/>
    <w:rsid w:val="35F2A362"/>
    <w:rsid w:val="36BF67D1"/>
    <w:rsid w:val="36EA2AC9"/>
    <w:rsid w:val="371A51D2"/>
    <w:rsid w:val="373BBD0C"/>
    <w:rsid w:val="37476E97"/>
    <w:rsid w:val="37F1484C"/>
    <w:rsid w:val="387C7014"/>
    <w:rsid w:val="388254FD"/>
    <w:rsid w:val="393D0552"/>
    <w:rsid w:val="39BFEDBA"/>
    <w:rsid w:val="39DBABD8"/>
    <w:rsid w:val="3A9643BE"/>
    <w:rsid w:val="3AA50AA5"/>
    <w:rsid w:val="3AED12ED"/>
    <w:rsid w:val="3AFF6A5D"/>
    <w:rsid w:val="3B103879"/>
    <w:rsid w:val="3B4A51A8"/>
    <w:rsid w:val="3B5D137F"/>
    <w:rsid w:val="3BDD34D2"/>
    <w:rsid w:val="3BDDFF97"/>
    <w:rsid w:val="3BFFD43B"/>
    <w:rsid w:val="3C7BD5C9"/>
    <w:rsid w:val="3CDA3B31"/>
    <w:rsid w:val="3DDF7E2A"/>
    <w:rsid w:val="3EDA2715"/>
    <w:rsid w:val="3FBF9251"/>
    <w:rsid w:val="3FED766E"/>
    <w:rsid w:val="3FFEEAD9"/>
    <w:rsid w:val="3FFFE931"/>
    <w:rsid w:val="404741A6"/>
    <w:rsid w:val="410C5DB5"/>
    <w:rsid w:val="41E72028"/>
    <w:rsid w:val="42462B6D"/>
    <w:rsid w:val="448B0D0B"/>
    <w:rsid w:val="449B0822"/>
    <w:rsid w:val="450114C5"/>
    <w:rsid w:val="457F07F2"/>
    <w:rsid w:val="458F482B"/>
    <w:rsid w:val="45AF3D99"/>
    <w:rsid w:val="46040D75"/>
    <w:rsid w:val="464C6278"/>
    <w:rsid w:val="46C932BF"/>
    <w:rsid w:val="46F102F3"/>
    <w:rsid w:val="48591960"/>
    <w:rsid w:val="48594C7C"/>
    <w:rsid w:val="491C4628"/>
    <w:rsid w:val="49887C09"/>
    <w:rsid w:val="4A99004A"/>
    <w:rsid w:val="4BD24FA3"/>
    <w:rsid w:val="4CC6FDBD"/>
    <w:rsid w:val="4D8B7D77"/>
    <w:rsid w:val="4DB34E2F"/>
    <w:rsid w:val="4E07F45D"/>
    <w:rsid w:val="4EB15C0B"/>
    <w:rsid w:val="4EC4030C"/>
    <w:rsid w:val="4F027E1C"/>
    <w:rsid w:val="4F200936"/>
    <w:rsid w:val="4FC155E1"/>
    <w:rsid w:val="4FF59AF5"/>
    <w:rsid w:val="503D00E8"/>
    <w:rsid w:val="5247502A"/>
    <w:rsid w:val="54672435"/>
    <w:rsid w:val="55935C72"/>
    <w:rsid w:val="55FE10A2"/>
    <w:rsid w:val="56EF6619"/>
    <w:rsid w:val="57AF1E73"/>
    <w:rsid w:val="59140B45"/>
    <w:rsid w:val="59A0281A"/>
    <w:rsid w:val="59A956B7"/>
    <w:rsid w:val="5AB21C33"/>
    <w:rsid w:val="5AE72F2C"/>
    <w:rsid w:val="5B2D4472"/>
    <w:rsid w:val="5B778EC0"/>
    <w:rsid w:val="5BFD93EC"/>
    <w:rsid w:val="5CBA8FF2"/>
    <w:rsid w:val="5D3A69D3"/>
    <w:rsid w:val="5D5F7E21"/>
    <w:rsid w:val="5E6301AB"/>
    <w:rsid w:val="5E847F02"/>
    <w:rsid w:val="5F5B35E4"/>
    <w:rsid w:val="609FA7B0"/>
    <w:rsid w:val="60B14A48"/>
    <w:rsid w:val="61016185"/>
    <w:rsid w:val="622D4D58"/>
    <w:rsid w:val="64151F48"/>
    <w:rsid w:val="6440448F"/>
    <w:rsid w:val="652A557F"/>
    <w:rsid w:val="65B8782A"/>
    <w:rsid w:val="65F77B57"/>
    <w:rsid w:val="661F0E5C"/>
    <w:rsid w:val="666A0678"/>
    <w:rsid w:val="69824BCF"/>
    <w:rsid w:val="69A9560C"/>
    <w:rsid w:val="69FCE5E7"/>
    <w:rsid w:val="6AD07B66"/>
    <w:rsid w:val="6BA23057"/>
    <w:rsid w:val="6BCDA9CC"/>
    <w:rsid w:val="6C2076DB"/>
    <w:rsid w:val="6D9F2765"/>
    <w:rsid w:val="6DB508E5"/>
    <w:rsid w:val="6DDFA6BD"/>
    <w:rsid w:val="6E767ACE"/>
    <w:rsid w:val="6E781687"/>
    <w:rsid w:val="6E8E4DD0"/>
    <w:rsid w:val="6EEE3ED1"/>
    <w:rsid w:val="6EFFED40"/>
    <w:rsid w:val="6F1B2166"/>
    <w:rsid w:val="6F5FC1DE"/>
    <w:rsid w:val="6F993A2D"/>
    <w:rsid w:val="6FB3E1FD"/>
    <w:rsid w:val="6FD768E4"/>
    <w:rsid w:val="6FF341F1"/>
    <w:rsid w:val="6FFEBD86"/>
    <w:rsid w:val="715E0A8A"/>
    <w:rsid w:val="71AA3CCF"/>
    <w:rsid w:val="72817160"/>
    <w:rsid w:val="739D254F"/>
    <w:rsid w:val="73FF1F09"/>
    <w:rsid w:val="73FF684B"/>
    <w:rsid w:val="74455F31"/>
    <w:rsid w:val="749E3893"/>
    <w:rsid w:val="74A708C5"/>
    <w:rsid w:val="74FC7BCA"/>
    <w:rsid w:val="76027D31"/>
    <w:rsid w:val="76DFCB7D"/>
    <w:rsid w:val="76F407B4"/>
    <w:rsid w:val="771D4D51"/>
    <w:rsid w:val="7735A28E"/>
    <w:rsid w:val="77778F6D"/>
    <w:rsid w:val="778D04AF"/>
    <w:rsid w:val="77ABFD6B"/>
    <w:rsid w:val="77B7A121"/>
    <w:rsid w:val="77C748BA"/>
    <w:rsid w:val="77DD24F1"/>
    <w:rsid w:val="77F10335"/>
    <w:rsid w:val="77F7E860"/>
    <w:rsid w:val="77FB8D34"/>
    <w:rsid w:val="78520C1D"/>
    <w:rsid w:val="78E36C78"/>
    <w:rsid w:val="797D0128"/>
    <w:rsid w:val="79892D64"/>
    <w:rsid w:val="79EDB415"/>
    <w:rsid w:val="7A1268B5"/>
    <w:rsid w:val="7ABBCDAB"/>
    <w:rsid w:val="7AD01F98"/>
    <w:rsid w:val="7AFCAD25"/>
    <w:rsid w:val="7AFEB9B4"/>
    <w:rsid w:val="7B272834"/>
    <w:rsid w:val="7B5E0C37"/>
    <w:rsid w:val="7B63F034"/>
    <w:rsid w:val="7B6B0973"/>
    <w:rsid w:val="7B735637"/>
    <w:rsid w:val="7B7DE504"/>
    <w:rsid w:val="7BDA40A0"/>
    <w:rsid w:val="7BFEC4F8"/>
    <w:rsid w:val="7C113447"/>
    <w:rsid w:val="7DA14F75"/>
    <w:rsid w:val="7DB57A61"/>
    <w:rsid w:val="7DC7DC1F"/>
    <w:rsid w:val="7DF95E12"/>
    <w:rsid w:val="7DFDF40F"/>
    <w:rsid w:val="7DFF9BC7"/>
    <w:rsid w:val="7E8A2B21"/>
    <w:rsid w:val="7EB645E3"/>
    <w:rsid w:val="7EB6B7AB"/>
    <w:rsid w:val="7ECF1219"/>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EF121F"/>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3">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2066</Words>
  <Characters>2224</Characters>
  <Lines>0</Lines>
  <Paragraphs>0</Paragraphs>
  <TotalTime>4</TotalTime>
  <ScaleCrop>false</ScaleCrop>
  <LinksUpToDate>false</LinksUpToDate>
  <CharactersWithSpaces>2232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2024-09-23T17:35:00Z</cp:lastPrinted>
  <dcterms:modified xsi:type="dcterms:W3CDTF">2024-11-15T10:39:25Z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C003AA443B0B4BC5A802642BDB85E4AF</vt:lpwstr>
  </property>
</Properties>
</file>