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40" w:line="56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drawing>
          <wp:anchor distT="0" distB="0" distL="114300" distR="114300" simplePos="0" relativeHeight="251659264" behindDoc="1" locked="0" layoutInCell="1" allowOverlap="1">
            <wp:simplePos x="0" y="0"/>
            <wp:positionH relativeFrom="column">
              <wp:posOffset>-66675</wp:posOffset>
            </wp:positionH>
            <wp:positionV relativeFrom="paragraph">
              <wp:posOffset>431165</wp:posOffset>
            </wp:positionV>
            <wp:extent cx="5604510" cy="2792730"/>
            <wp:effectExtent l="0" t="0" r="15240" b="7620"/>
            <wp:wrapNone/>
            <wp:docPr id="1" name="图片 2" descr="红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红头"/>
                    <pic:cNvPicPr>
                      <a:picLocks noChangeAspect="1"/>
                    </pic:cNvPicPr>
                  </pic:nvPicPr>
                  <pic:blipFill>
                    <a:blip r:embed="rId5"/>
                    <a:stretch>
                      <a:fillRect/>
                    </a:stretch>
                  </pic:blipFill>
                  <pic:spPr>
                    <a:xfrm>
                      <a:off x="0" y="0"/>
                      <a:ext cx="5604510" cy="2792730"/>
                    </a:xfrm>
                    <a:prstGeom prst="rect">
                      <a:avLst/>
                    </a:prstGeom>
                    <a:noFill/>
                    <a:ln>
                      <a:noFill/>
                    </a:ln>
                  </pic:spPr>
                </pic:pic>
              </a:graphicData>
            </a:graphic>
          </wp:anchor>
        </w:drawing>
      </w:r>
    </w:p>
    <w:p>
      <w:pPr>
        <w:spacing w:before="240" w:line="560" w:lineRule="exact"/>
        <w:rPr>
          <w:rFonts w:hint="eastAsia" w:ascii="仿宋_GB2312" w:hAnsi="仿宋_GB2312" w:eastAsia="仿宋_GB2312" w:cs="仿宋_GB2312"/>
          <w:sz w:val="32"/>
          <w:szCs w:val="32"/>
        </w:rPr>
      </w:pPr>
    </w:p>
    <w:p>
      <w:pPr>
        <w:spacing w:before="240" w:line="560" w:lineRule="exact"/>
        <w:rPr>
          <w:rFonts w:hint="eastAsia" w:ascii="仿宋_GB2312" w:hAnsi="仿宋_GB2312" w:eastAsia="仿宋_GB2312" w:cs="仿宋_GB2312"/>
          <w:sz w:val="32"/>
          <w:szCs w:val="32"/>
        </w:rPr>
      </w:pPr>
    </w:p>
    <w:p>
      <w:pPr>
        <w:spacing w:before="240" w:line="240" w:lineRule="auto"/>
        <w:rPr>
          <w:rFonts w:hint="eastAsia" w:ascii="仿宋_GB2312" w:hAnsi="仿宋_GB2312" w:eastAsia="仿宋_GB2312" w:cs="仿宋_GB2312"/>
          <w:sz w:val="32"/>
          <w:szCs w:val="32"/>
          <w:lang w:eastAsia="zh-CN"/>
        </w:rPr>
      </w:pPr>
    </w:p>
    <w:p>
      <w:pPr>
        <w:spacing w:before="240" w:line="560" w:lineRule="exact"/>
        <w:rPr>
          <w:rFonts w:hint="eastAsia" w:ascii="仿宋_GB2312" w:hAnsi="仿宋_GB2312" w:eastAsia="仿宋_GB2312" w:cs="仿宋_GB2312"/>
          <w:sz w:val="32"/>
          <w:szCs w:val="32"/>
        </w:rPr>
      </w:pPr>
    </w:p>
    <w:p>
      <w:pPr>
        <w:spacing w:before="240" w:line="560" w:lineRule="exact"/>
        <w:ind w:firstLine="2880" w:firstLineChars="900"/>
        <w:jc w:val="both"/>
        <w:rPr>
          <w:rFonts w:hint="default" w:ascii="新宋体" w:hAnsi="新宋体" w:eastAsia="仿宋_GB2312"/>
          <w:b/>
          <w:szCs w:val="21"/>
          <w:lang w:val="en-US" w:eastAsia="zh-CN"/>
        </w:rPr>
      </w:pPr>
      <w:r>
        <w:rPr>
          <w:rFonts w:hint="eastAsia" w:ascii="仿宋_GB2312" w:hAnsi="仿宋_GB2312" w:eastAsia="仿宋_GB2312" w:cs="仿宋_GB2312"/>
          <w:sz w:val="32"/>
          <w:szCs w:val="32"/>
        </w:rPr>
        <w:t>黑疾控</w:t>
      </w:r>
      <w:r>
        <w:rPr>
          <w:rFonts w:hint="eastAsia" w:ascii="仿宋_GB2312" w:hAnsi="华文中宋" w:eastAsia="仿宋_GB2312"/>
          <w:sz w:val="32"/>
        </w:rPr>
        <w:t>〔</w:t>
      </w:r>
      <w:r>
        <w:rPr>
          <w:rFonts w:hint="eastAsia" w:ascii="仿宋_GB2312" w:hAnsi="华文中宋" w:eastAsia="仿宋_GB2312"/>
          <w:sz w:val="32"/>
          <w:lang w:val="en-US" w:eastAsia="zh-CN"/>
        </w:rPr>
        <w:t>2025</w:t>
      </w:r>
      <w:r>
        <w:rPr>
          <w:rFonts w:ascii="仿宋_GB2312" w:hAnsi="华文中宋" w:eastAsia="仿宋_GB2312"/>
          <w:sz w:val="32"/>
        </w:rPr>
        <w:t>〕</w:t>
      </w:r>
      <w:r>
        <w:rPr>
          <w:rFonts w:hint="eastAsia" w:ascii="仿宋_GB2312" w:hAnsi="仿宋_GB2312" w:eastAsia="仿宋_GB2312" w:cs="仿宋_GB2312"/>
          <w:sz w:val="32"/>
          <w:szCs w:val="32"/>
          <w:lang w:val="en-US" w:eastAsia="zh-CN"/>
        </w:rPr>
        <w:t>26</w:t>
      </w:r>
      <w:r>
        <w:rPr>
          <w:rFonts w:hint="eastAsia" w:ascii="仿宋_GB2312" w:hAnsi="仿宋_GB2312" w:eastAsia="仿宋_GB2312" w:cs="仿宋_GB2312"/>
          <w:sz w:val="32"/>
          <w:szCs w:val="32"/>
        </w:rPr>
        <w:t>号</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z w:val="44"/>
          <w:szCs w:val="44"/>
          <w:lang w:val="en-US" w:eastAsia="zh-CN"/>
        </w:rPr>
        <w:t>黑水县疾病预防控制中心</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z w:val="44"/>
          <w:szCs w:val="44"/>
          <w:lang w:val="en-US" w:eastAsia="zh-CN"/>
        </w:rPr>
        <w:t>州级补助宫颈癌疫苗经费专项预算</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val="0"/>
          <w:sz w:val="44"/>
          <w:szCs w:val="44"/>
          <w:lang w:val="en-US" w:eastAsia="zh-CN"/>
        </w:rPr>
      </w:pPr>
      <w:r>
        <w:rPr>
          <w:rFonts w:hint="eastAsia" w:ascii="方正小标宋_GBK" w:hAnsi="方正小标宋_GBK" w:eastAsia="方正小标宋_GBK" w:cs="方正小标宋_GBK"/>
          <w:b w:val="0"/>
          <w:bCs w:val="0"/>
          <w:sz w:val="44"/>
          <w:szCs w:val="44"/>
          <w:lang w:val="en-US" w:eastAsia="zh-CN"/>
        </w:rPr>
        <w:t>项目绩效评价报告</w:t>
      </w:r>
    </w:p>
    <w:p>
      <w:pPr>
        <w:pStyle w:val="22"/>
        <w:keepNext w:val="0"/>
        <w:keepLines w:val="0"/>
        <w:pageBreakBefore w:val="0"/>
        <w:widowControl w:val="0"/>
        <w:kinsoku/>
        <w:wordWrap/>
        <w:overflowPunct/>
        <w:topLinePunct w:val="0"/>
        <w:autoSpaceDE/>
        <w:autoSpaceDN/>
        <w:bidi w:val="0"/>
        <w:spacing w:line="560" w:lineRule="exact"/>
        <w:ind w:left="0" w:leftChars="0" w:firstLine="640"/>
        <w:jc w:val="center"/>
        <w:textAlignment w:val="auto"/>
        <w:rPr>
          <w:rFonts w:ascii="宋体" w:hAnsi="宋体"/>
          <w:color w:val="auto"/>
          <w:kern w:val="2"/>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黑体" w:hAnsi="宋体" w:eastAsia="黑体"/>
          <w:sz w:val="32"/>
          <w:szCs w:val="32"/>
          <w:highlight w:val="none"/>
          <w:lang w:val="zh-CN"/>
        </w:rPr>
      </w:pPr>
      <w:r>
        <w:rPr>
          <w:rFonts w:hint="eastAsia" w:ascii="黑体" w:hAnsi="宋体" w:eastAsia="黑体"/>
          <w:sz w:val="32"/>
          <w:szCs w:val="32"/>
          <w:highlight w:val="none"/>
        </w:rPr>
        <w:t>一、</w:t>
      </w:r>
      <w:r>
        <w:rPr>
          <w:rFonts w:hint="eastAsia" w:ascii="黑体" w:hAnsi="宋体" w:eastAsia="黑体"/>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（一）设立背景及基本情况</w:t>
      </w:r>
    </w:p>
    <w:p>
      <w:pPr>
        <w:keepNext w:val="0"/>
        <w:keepLines w:val="0"/>
        <w:pageBreakBefore w:val="0"/>
        <w:widowControl/>
        <w:suppressLineNumbers w:val="0"/>
        <w:wordWrap/>
        <w:overflowPunct/>
        <w:topLinePunct w:val="0"/>
        <w:bidi w:val="0"/>
        <w:spacing w:line="560" w:lineRule="exact"/>
        <w:ind w:firstLine="640" w:firstLineChars="200"/>
        <w:jc w:val="left"/>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根据州委州政府2024年十大民生实事工作要求，结合州卫健委、州教育局等九部门《关于印发阿坝州加速消除宫颈癌行动实施方案（2023-2030年）的通知》（阿州卫健发</w:t>
      </w:r>
      <w:r>
        <w:rPr>
          <w:rFonts w:ascii="仿宋_GB2312" w:hAnsi="仿宋_GB2312" w:eastAsia="仿宋_GB2312" w:cs="仿宋_GB2312"/>
          <w:color w:val="000000"/>
          <w:kern w:val="0"/>
          <w:sz w:val="32"/>
          <w:szCs w:val="32"/>
          <w:lang w:val="en-US" w:eastAsia="zh-CN" w:bidi="ar"/>
        </w:rPr>
        <w:t>〔</w:t>
      </w:r>
      <w:r>
        <w:rPr>
          <w:rFonts w:hint="default" w:ascii="仿宋_GB2312" w:hAnsi="仿宋_GB2312" w:eastAsia="仿宋_GB2312" w:cs="仿宋_GB2312"/>
          <w:color w:val="000000"/>
          <w:kern w:val="0"/>
          <w:sz w:val="32"/>
          <w:szCs w:val="32"/>
          <w:lang w:val="en-US" w:eastAsia="zh-CN" w:bidi="ar"/>
        </w:rPr>
        <w:t>2023</w:t>
      </w:r>
      <w:r>
        <w:rPr>
          <w:rFonts w:ascii="仿宋_GB2312" w:hAnsi="仿宋_GB2312" w:eastAsia="仿宋_GB2312" w:cs="仿宋_GB2312"/>
          <w:color w:val="000000"/>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2号）文件</w:t>
      </w:r>
      <w:r>
        <w:rPr>
          <w:rFonts w:hint="default" w:ascii="仿宋_GB2312" w:hAnsi="仿宋_GB2312" w:eastAsia="仿宋_GB2312" w:cs="仿宋_GB2312"/>
          <w:color w:val="000000"/>
          <w:kern w:val="0"/>
          <w:sz w:val="32"/>
          <w:szCs w:val="32"/>
          <w:lang w:eastAsia="zh-CN" w:bidi="ar"/>
        </w:rPr>
        <w:t>部</w:t>
      </w:r>
      <w:r>
        <w:rPr>
          <w:rFonts w:hint="eastAsia" w:ascii="仿宋_GB2312" w:hAnsi="仿宋_GB2312" w:eastAsia="仿宋_GB2312" w:cs="仿宋_GB2312"/>
          <w:color w:val="000000"/>
          <w:kern w:val="0"/>
          <w:sz w:val="32"/>
          <w:szCs w:val="32"/>
          <w:lang w:val="en-US" w:eastAsia="zh-CN" w:bidi="ar"/>
        </w:rPr>
        <w:t>署要求，迅速提升我州适龄女性人乳头瘤病毒（宫颈癌）疫苗接种率，有效预防和控制宫颈癌发生，切实保障女性身心健康与生命质量。</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default"/>
          <w:b/>
          <w:bCs w:val="0"/>
          <w:sz w:val="32"/>
          <w:szCs w:val="32"/>
          <w:lang w:val="en-US" w:eastAsia="zh-CN"/>
        </w:rPr>
      </w:pPr>
      <w:r>
        <w:rPr>
          <w:rFonts w:hint="default" w:ascii="楷体_GB2312" w:hAnsi="宋体" w:eastAsia="楷体_GB2312" w:cs="Times New Roman"/>
          <w:b/>
          <w:bCs w:val="0"/>
          <w:color w:val="auto"/>
          <w:sz w:val="32"/>
          <w:szCs w:val="32"/>
          <w:highlight w:val="none"/>
          <w:u w:val="none"/>
          <w:lang w:val="en-US" w:eastAsia="zh-CN"/>
        </w:rPr>
        <w:t>实施目的及支持方向</w:t>
      </w:r>
    </w:p>
    <w:p>
      <w:pPr>
        <w:keepNext w:val="0"/>
        <w:keepLines w:val="0"/>
        <w:pageBreakBefore w:val="0"/>
        <w:widowControl/>
        <w:suppressLineNumbers w:val="0"/>
        <w:wordWrap/>
        <w:overflowPunct/>
        <w:topLinePunct w:val="0"/>
        <w:bidi w:val="0"/>
        <w:spacing w:line="560" w:lineRule="exact"/>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2024年完成9岁-14岁女孩免费接种国家二价宫颈癌疫苗项目工作，黑水县任务数：120人，</w:t>
      </w:r>
    </w:p>
    <w:p>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default" w:ascii="楷体_GB2312" w:hAnsi="宋体" w:eastAsia="楷体_GB2312" w:cs="Times New Roman"/>
          <w:b/>
          <w:color w:val="auto"/>
          <w:sz w:val="32"/>
          <w:szCs w:val="32"/>
          <w:highlight w:val="none"/>
          <w:u w:val="none"/>
          <w:lang w:val="en-US" w:eastAsia="zh-CN"/>
        </w:rPr>
      </w:pPr>
      <w:r>
        <w:rPr>
          <w:rFonts w:hint="default" w:ascii="楷体_GB2312" w:hAnsi="宋体" w:eastAsia="楷体_GB2312" w:cs="Times New Roman"/>
          <w:b/>
          <w:color w:val="auto"/>
          <w:sz w:val="32"/>
          <w:szCs w:val="32"/>
          <w:highlight w:val="none"/>
          <w:u w:val="none"/>
          <w:lang w:val="en-US" w:eastAsia="zh-CN"/>
        </w:rPr>
        <w:t>预算安排及分配管理</w:t>
      </w:r>
    </w:p>
    <w:p>
      <w:pPr>
        <w:keepNext w:val="0"/>
        <w:keepLines w:val="0"/>
        <w:pageBreakBefore w:val="0"/>
        <w:widowControl/>
        <w:suppressLineNumbers w:val="0"/>
        <w:wordWrap/>
        <w:overflowPunct/>
        <w:topLinePunct w:val="0"/>
        <w:bidi w:val="0"/>
        <w:spacing w:line="560" w:lineRule="exact"/>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资金下达依据：根据阿州财社（2024）57号、（黑卫健发）〔2024〕52号文件内容，宫颈癌疫苗接种费由州、县财政按3:7比例分担，其中州级财政2.38万元，县级财政5.5272万元。接种服务费0.48万元（20元/每剂）由县财政预算保障。</w:t>
      </w:r>
    </w:p>
    <w:p>
      <w:pPr>
        <w:keepNext w:val="0"/>
        <w:keepLines w:val="0"/>
        <w:pageBreakBefore w:val="0"/>
        <w:widowControl/>
        <w:suppressLineNumbers w:val="0"/>
        <w:wordWrap/>
        <w:overflowPunct/>
        <w:topLinePunct w:val="0"/>
        <w:bidi w:val="0"/>
        <w:spacing w:line="560" w:lineRule="exact"/>
        <w:ind w:firstLine="640" w:firstLineChars="200"/>
        <w:jc w:val="left"/>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000000"/>
          <w:kern w:val="0"/>
          <w:sz w:val="32"/>
          <w:szCs w:val="32"/>
          <w:lang w:val="en-US" w:eastAsia="zh-CN" w:bidi="ar"/>
        </w:rPr>
        <w:t>项目开展实施方案依据:《关于印发阿坝州加速消除宫颈癌行动实施方案（2023-2030年）的通知》（阿州卫健发〔2023〕2号）、《黑水县卫生健康局关于印发（黑水县2024年9岁-14岁女孩国产二价宫颈癌疫苗免费接种实施方案）的通知》（黑卫健发）〔2024〕52号。</w:t>
      </w:r>
      <w:r>
        <w:rPr>
          <w:rFonts w:hint="eastAsia" w:ascii="仿宋_GB2312" w:hAnsi="仿宋_GB2312" w:eastAsia="仿宋_GB2312" w:cs="仿宋_GB2312"/>
          <w:color w:val="auto"/>
          <w:kern w:val="0"/>
          <w:sz w:val="32"/>
          <w:szCs w:val="32"/>
          <w:highlight w:val="none"/>
          <w:u w:val="none"/>
          <w:shd w:val="clear" w:color="auto" w:fill="FFFFFF"/>
          <w:lang w:val="en-US" w:eastAsia="zh-CN"/>
        </w:rPr>
        <w:t xml:space="preserve">     </w:t>
      </w:r>
    </w:p>
    <w:p>
      <w:pPr>
        <w:keepNext w:val="0"/>
        <w:keepLines w:val="0"/>
        <w:pageBreakBefore w:val="0"/>
        <w:numPr>
          <w:ilvl w:val="0"/>
          <w:numId w:val="1"/>
        </w:numPr>
        <w:kinsoku/>
        <w:wordWrap/>
        <w:overflowPunct/>
        <w:topLinePunct w:val="0"/>
        <w:autoSpaceDE/>
        <w:autoSpaceDN/>
        <w:bidi w:val="0"/>
        <w:adjustRightInd w:val="0"/>
        <w:snapToGrid w:val="0"/>
        <w:spacing w:line="560" w:lineRule="exact"/>
        <w:ind w:left="0" w:leftChars="0" w:firstLine="642" w:firstLineChars="200"/>
        <w:textAlignment w:val="auto"/>
        <w:rPr>
          <w:rFonts w:hint="eastAsia" w:ascii="楷体_GB2312" w:hAnsi="宋体" w:eastAsia="楷体_GB2312" w:cs="Times New Roman"/>
          <w:b/>
          <w:color w:val="auto"/>
          <w:sz w:val="32"/>
          <w:szCs w:val="32"/>
          <w:highlight w:val="none"/>
          <w:u w:val="none"/>
          <w:lang w:val="zh-CN" w:eastAsia="zh-CN"/>
        </w:rPr>
      </w:pPr>
      <w:r>
        <w:rPr>
          <w:rFonts w:hint="eastAsia" w:ascii="楷体_GB2312" w:hAnsi="宋体" w:eastAsia="楷体_GB2312" w:cs="Times New Roman"/>
          <w:b/>
          <w:color w:val="auto"/>
          <w:sz w:val="32"/>
          <w:szCs w:val="32"/>
          <w:highlight w:val="none"/>
          <w:u w:val="none"/>
          <w:lang w:val="zh-CN" w:eastAsia="zh-CN"/>
        </w:rPr>
        <w:t>项目绩效目标设置</w:t>
      </w:r>
    </w:p>
    <w:p>
      <w:pPr>
        <w:keepNext w:val="0"/>
        <w:keepLines w:val="0"/>
        <w:pageBreakBefore w:val="0"/>
        <w:widowControl/>
        <w:suppressLineNumbers w:val="0"/>
        <w:wordWrap/>
        <w:overflowPunct/>
        <w:topLinePunct w:val="0"/>
        <w:bidi w:val="0"/>
        <w:spacing w:line="560" w:lineRule="exact"/>
        <w:ind w:firstLine="640" w:firstLineChars="200"/>
        <w:jc w:val="left"/>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2024年度，我中心下达宫颈癌疫苗接种项目资金共计8.3872万元，截至2024年12月31日，资金列支共计8.376万元，资金执行率达99.87%。</w:t>
      </w:r>
    </w:p>
    <w:p>
      <w:pPr>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数量指标：9-14岁免费接种二价宫颈癌疫苗120人。</w:t>
      </w:r>
    </w:p>
    <w:p>
      <w:pPr>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时效指标：2024年12月底完成接种。</w:t>
      </w:r>
    </w:p>
    <w:p>
      <w:pPr>
        <w:pageBreakBefore w:val="0"/>
        <w:wordWrap/>
        <w:overflowPunct/>
        <w:topLinePunct w:val="0"/>
        <w:bidi w:val="0"/>
        <w:spacing w:line="560" w:lineRule="exact"/>
        <w:ind w:firstLine="640" w:firstLineChars="200"/>
        <w:rPr>
          <w:rStyle w:val="18"/>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sz w:val="32"/>
          <w:szCs w:val="32"/>
          <w:lang w:val="en-US" w:eastAsia="zh-CN"/>
        </w:rPr>
        <w:t>质量指标：全面接种无差错、无异常反应率</w:t>
      </w:r>
      <w:r>
        <w:rPr>
          <w:rStyle w:val="18"/>
          <w:rFonts w:hint="eastAsia" w:ascii="仿宋_GB2312" w:hAnsi="仿宋_GB2312" w:eastAsia="仿宋_GB2312" w:cs="仿宋_GB2312"/>
          <w:color w:val="auto"/>
          <w:sz w:val="32"/>
          <w:szCs w:val="32"/>
        </w:rPr>
        <w:t>≥</w:t>
      </w:r>
      <w:r>
        <w:rPr>
          <w:rStyle w:val="18"/>
          <w:rFonts w:hint="eastAsia" w:ascii="仿宋_GB2312" w:hAnsi="仿宋_GB2312" w:eastAsia="仿宋_GB2312" w:cs="仿宋_GB2312"/>
          <w:color w:val="auto"/>
          <w:sz w:val="32"/>
          <w:szCs w:val="32"/>
          <w:lang w:val="en-US" w:eastAsia="zh-CN"/>
        </w:rPr>
        <w:t>95%</w:t>
      </w:r>
      <w:r>
        <w:rPr>
          <w:rStyle w:val="18"/>
          <w:rFonts w:hint="eastAsia" w:ascii="仿宋_GB2312" w:hAnsi="仿宋_GB2312" w:eastAsia="仿宋_GB2312" w:cs="仿宋_GB2312"/>
          <w:color w:val="auto"/>
          <w:sz w:val="32"/>
          <w:szCs w:val="32"/>
          <w:lang w:eastAsia="zh-CN"/>
        </w:rPr>
        <w:t>。</w:t>
      </w:r>
    </w:p>
    <w:p>
      <w:pPr>
        <w:pageBreakBefore w:val="0"/>
        <w:wordWrap/>
        <w:overflowPunct/>
        <w:topLinePunct w:val="0"/>
        <w:bidi w:val="0"/>
        <w:spacing w:line="560" w:lineRule="exact"/>
        <w:ind w:firstLine="640" w:firstLineChars="200"/>
        <w:rPr>
          <w:rStyle w:val="18"/>
          <w:rFonts w:hint="eastAsia" w:ascii="仿宋_GB2312" w:hAnsi="仿宋_GB2312" w:eastAsia="仿宋_GB2312" w:cs="仿宋_GB2312"/>
          <w:color w:val="auto"/>
          <w:sz w:val="32"/>
          <w:szCs w:val="32"/>
          <w:lang w:eastAsia="zh-CN"/>
        </w:rPr>
      </w:pPr>
      <w:r>
        <w:rPr>
          <w:rStyle w:val="18"/>
          <w:rFonts w:hint="eastAsia" w:ascii="仿宋_GB2312" w:hAnsi="仿宋_GB2312" w:eastAsia="仿宋_GB2312" w:cs="仿宋_GB2312"/>
          <w:color w:val="auto"/>
          <w:sz w:val="32"/>
          <w:szCs w:val="32"/>
          <w:lang w:eastAsia="zh-CN"/>
        </w:rPr>
        <w:t>经济效益指标：减少接种对象经济负担。</w:t>
      </w:r>
    </w:p>
    <w:p>
      <w:pPr>
        <w:pageBreakBefore w:val="0"/>
        <w:wordWrap/>
        <w:overflowPunct/>
        <w:topLinePunct w:val="0"/>
        <w:bidi w:val="0"/>
        <w:spacing w:line="560" w:lineRule="exact"/>
        <w:rPr>
          <w:rStyle w:val="18"/>
          <w:rFonts w:hint="eastAsia" w:ascii="仿宋_GB2312" w:hAnsi="仿宋_GB2312" w:eastAsia="仿宋_GB2312" w:cs="仿宋_GB2312"/>
          <w:color w:val="auto"/>
          <w:sz w:val="32"/>
          <w:szCs w:val="32"/>
          <w:lang w:val="en-US" w:eastAsia="zh-CN"/>
        </w:rPr>
      </w:pPr>
      <w:r>
        <w:rPr>
          <w:rStyle w:val="18"/>
          <w:rFonts w:hint="eastAsia" w:ascii="仿宋_GB2312" w:hAnsi="仿宋_GB2312" w:eastAsia="仿宋_GB2312" w:cs="仿宋_GB2312"/>
          <w:color w:val="auto"/>
          <w:sz w:val="32"/>
          <w:szCs w:val="32"/>
          <w:lang w:val="en-US" w:eastAsia="zh-CN"/>
        </w:rPr>
        <w:t xml:space="preserve">    服务对象满意度指标:接种对象服务满意度</w:t>
      </w:r>
      <w:r>
        <w:rPr>
          <w:rStyle w:val="18"/>
          <w:rFonts w:hint="eastAsia" w:ascii="仿宋_GB2312" w:hAnsi="仿宋_GB2312" w:eastAsia="仿宋_GB2312" w:cs="仿宋_GB2312"/>
          <w:color w:val="auto"/>
          <w:sz w:val="32"/>
          <w:szCs w:val="32"/>
        </w:rPr>
        <w:t>≥</w:t>
      </w:r>
      <w:r>
        <w:rPr>
          <w:rStyle w:val="18"/>
          <w:rFonts w:hint="eastAsia" w:ascii="仿宋_GB2312" w:hAnsi="仿宋_GB2312" w:eastAsia="仿宋_GB2312" w:cs="仿宋_GB2312"/>
          <w:color w:val="auto"/>
          <w:sz w:val="32"/>
          <w:szCs w:val="32"/>
          <w:lang w:val="en-US" w:eastAsia="zh-CN"/>
        </w:rPr>
        <w:t>95%。</w:t>
      </w:r>
    </w:p>
    <w:p>
      <w:pPr>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lang w:val="en-US" w:eastAsia="zh-CN"/>
        </w:rPr>
      </w:pPr>
      <w:r>
        <w:rPr>
          <w:rStyle w:val="18"/>
          <w:rFonts w:hint="eastAsia" w:ascii="仿宋_GB2312" w:hAnsi="仿宋_GB2312" w:eastAsia="仿宋_GB2312" w:cs="仿宋_GB2312"/>
          <w:color w:val="auto"/>
          <w:sz w:val="32"/>
          <w:szCs w:val="32"/>
          <w:lang w:val="en-US" w:eastAsia="zh-CN"/>
        </w:rPr>
        <w:t>成本指标：县财政投入疫苗费5.5272万元；疫苗接种费0.48万元。</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（一）评价目的</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zh-CN" w:eastAsia="zh-CN"/>
        </w:rPr>
        <w:t>通过项目绩效自评，确定项目开展效果，项目开展内容是否达到上级部门下达的指标要求。</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预设问题及评价重点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按照绩效评价指标体系，中心从通用指标、专用指标及个性指标对项目开展了绩效评价工作。该项目资金支出使用全过程符合宫颈癌疫苗接种项目资金实施方案要求，全部用于宫颈癌疫苗接种项目</w:t>
      </w:r>
      <w:r>
        <w:rPr>
          <w:rFonts w:hint="eastAsia" w:ascii="仿宋_GB2312" w:hAnsi="仿宋_GB2312" w:eastAsia="仿宋_GB2312" w:cs="仿宋_GB2312"/>
          <w:sz w:val="32"/>
          <w:szCs w:val="32"/>
          <w:lang w:val="en-US" w:eastAsia="zh-CN"/>
        </w:rPr>
        <w:t>，实施效果与预计效果相符。</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评价选点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sz w:val="32"/>
          <w:szCs w:val="32"/>
          <w:lang w:val="zh-CN" w:eastAsia="zh-CN"/>
        </w:rPr>
        <w:t>项目绩效自评主要通过抽取</w:t>
      </w:r>
      <w:r>
        <w:rPr>
          <w:rFonts w:hint="eastAsia" w:ascii="仿宋_GB2312" w:hAnsi="仿宋_GB2312" w:eastAsia="仿宋_GB2312" w:cs="仿宋_GB2312"/>
          <w:sz w:val="32"/>
          <w:szCs w:val="32"/>
          <w:lang w:val="en-US" w:eastAsia="zh-CN"/>
        </w:rPr>
        <w:t>2024年资金拨付凭证来进行自评工作，通过核查中心拨付凭证，确定了项目资金的确用于宫颈癌疫苗接种项目。</w:t>
      </w:r>
    </w:p>
    <w:p>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评价方法</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由于该专项资金主要用于涉及民生保障，资金用途明确。我中心采用单位自评法、实地勘察法对项目进行自评工作。</w:t>
      </w:r>
    </w:p>
    <w:p>
      <w:pPr>
        <w:keepNext w:val="0"/>
        <w:keepLines w:val="0"/>
        <w:pageBreakBefore w:val="0"/>
        <w:widowControl w:val="0"/>
        <w:numPr>
          <w:ilvl w:val="0"/>
          <w:numId w:val="2"/>
        </w:numPr>
        <w:kinsoku/>
        <w:wordWrap/>
        <w:overflowPunct/>
        <w:topLinePunct w:val="0"/>
        <w:autoSpaceDE/>
        <w:autoSpaceDN/>
        <w:bidi w:val="0"/>
        <w:spacing w:line="560" w:lineRule="exact"/>
        <w:ind w:left="0" w:leftChars="0" w:firstLine="642" w:firstLineChars="200"/>
        <w:textAlignment w:val="auto"/>
        <w:outlineLvl w:val="9"/>
        <w:rPr>
          <w:rFonts w:hint="eastAsia"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评价组织</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评价组人员构成如下：</w:t>
      </w:r>
    </w:p>
    <w:p>
      <w:pPr>
        <w:pStyle w:val="14"/>
        <w:pageBreakBefore w:val="0"/>
        <w:wordWrap/>
        <w:overflowPunct/>
        <w:topLinePunct w:val="0"/>
        <w:bidi w:val="0"/>
        <w:spacing w:line="560" w:lineRule="exact"/>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组长：</w:t>
      </w:r>
      <w:r>
        <w:rPr>
          <w:rFonts w:hint="eastAsia" w:ascii="仿宋_GB2312" w:hAnsi="仿宋_GB2312" w:eastAsia="仿宋_GB2312" w:cs="仿宋_GB2312"/>
          <w:kern w:val="2"/>
          <w:sz w:val="32"/>
          <w:szCs w:val="32"/>
          <w:lang w:val="zh-CN" w:eastAsia="zh-CN" w:bidi="ar-SA"/>
        </w:rPr>
        <w:t>郭成慧</w:t>
      </w:r>
      <w:r>
        <w:rPr>
          <w:rFonts w:hint="eastAsia" w:ascii="仿宋_GB2312" w:hAnsi="仿宋_GB2312" w:eastAsia="仿宋_GB2312" w:cs="仿宋_GB2312"/>
          <w:kern w:val="2"/>
          <w:sz w:val="32"/>
          <w:szCs w:val="32"/>
          <w:lang w:val="en-US" w:eastAsia="zh-CN" w:bidi="ar-SA"/>
        </w:rPr>
        <w:t xml:space="preserve">  指导</w:t>
      </w:r>
      <w:r>
        <w:rPr>
          <w:rFonts w:hint="eastAsia" w:ascii="仿宋_GB2312" w:hAnsi="仿宋_GB2312" w:eastAsia="仿宋_GB2312" w:cs="仿宋_GB2312"/>
          <w:sz w:val="32"/>
          <w:szCs w:val="32"/>
          <w:lang w:val="en-US" w:eastAsia="zh-CN"/>
        </w:rPr>
        <w:t>中心主任 负责全面评价工作</w:t>
      </w:r>
    </w:p>
    <w:p>
      <w:pPr>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成员：</w:t>
      </w:r>
      <w:r>
        <w:rPr>
          <w:rFonts w:hint="eastAsia" w:ascii="仿宋_GB2312" w:hAnsi="仿宋_GB2312" w:eastAsia="仿宋_GB2312" w:cs="仿宋_GB2312"/>
          <w:kern w:val="2"/>
          <w:sz w:val="32"/>
          <w:szCs w:val="32"/>
          <w:lang w:val="en-US" w:eastAsia="zh-CN" w:bidi="ar-SA"/>
        </w:rPr>
        <w:t xml:space="preserve">桑基忠 </w:t>
      </w:r>
      <w:r>
        <w:rPr>
          <w:rFonts w:hint="eastAsia" w:ascii="仿宋_GB2312" w:hAnsi="仿宋_GB2312" w:eastAsia="仿宋_GB2312" w:cs="仿宋_GB2312"/>
          <w:sz w:val="32"/>
          <w:szCs w:val="32"/>
          <w:lang w:val="en-US" w:eastAsia="zh-CN"/>
        </w:rPr>
        <w:t xml:space="preserve"> 负责财务相关评价工作</w:t>
      </w:r>
    </w:p>
    <w:p>
      <w:pPr>
        <w:pageBreakBefore w:val="0"/>
        <w:wordWrap/>
        <w:overflowPunct/>
        <w:topLinePunct w:val="0"/>
        <w:bidi w:val="0"/>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罗琼英  负责2024年评价总体相关评价工作</w:t>
      </w:r>
    </w:p>
    <w:p>
      <w:pPr>
        <w:pStyle w:val="14"/>
        <w:pageBreakBefore w:val="0"/>
        <w:wordWrap/>
        <w:overflowPunct/>
        <w:topLinePunct w:val="0"/>
        <w:bidi w:val="0"/>
        <w:spacing w:line="560" w:lineRule="exact"/>
        <w:ind w:left="0" w:leftChars="0" w:firstLine="1600" w:firstLineChars="5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泽若满  负责2024年执行机构绩效评价工作</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outlineLvl w:val="9"/>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pPr>
        <w:keepNext w:val="0"/>
        <w:keepLines w:val="0"/>
        <w:pageBreakBefore w:val="0"/>
        <w:widowControl w:val="0"/>
        <w:kinsoku/>
        <w:wordWrap/>
        <w:overflowPunct/>
        <w:topLinePunct w:val="0"/>
        <w:autoSpaceDE/>
        <w:autoSpaceDN/>
        <w:bidi w:val="0"/>
        <w:spacing w:line="560" w:lineRule="exact"/>
        <w:ind w:firstLine="64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中心根据项目预算绩效评价指标体系“通用指标”“专用指标”“个性指标”三个方面对该项资金进行了全方位自评工作，具体情况如下：</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楷体_GB2312" w:hAnsi="楷体_GB2312" w:eastAsia="楷体_GB2312" w:cs="楷体_GB2312"/>
          <w:b/>
          <w:color w:val="auto"/>
          <w:sz w:val="32"/>
          <w:szCs w:val="32"/>
          <w:highlight w:val="none"/>
          <w:u w:val="none"/>
          <w:lang w:val="en-US" w:eastAsia="zh-CN"/>
        </w:rPr>
      </w:pPr>
      <w:r>
        <w:rPr>
          <w:rFonts w:hint="eastAsia" w:ascii="楷体_GB2312" w:hAnsi="楷体_GB2312" w:eastAsia="楷体_GB2312" w:cs="楷体_GB2312"/>
          <w:b/>
          <w:color w:val="auto"/>
          <w:sz w:val="32"/>
          <w:szCs w:val="32"/>
          <w:highlight w:val="none"/>
          <w:u w:val="none"/>
          <w:lang w:val="zh-CN"/>
        </w:rPr>
        <w:t>（一）</w:t>
      </w:r>
      <w:r>
        <w:rPr>
          <w:rFonts w:hint="eastAsia" w:ascii="楷体_GB2312" w:hAnsi="楷体_GB2312" w:eastAsia="楷体_GB2312" w:cs="楷体_GB2312"/>
          <w:b/>
          <w:color w:val="auto"/>
          <w:sz w:val="32"/>
          <w:szCs w:val="32"/>
          <w:highlight w:val="none"/>
          <w:u w:val="none"/>
          <w:lang w:val="en-US" w:eastAsia="zh-CN"/>
        </w:rPr>
        <w:t>通用指标</w:t>
      </w:r>
      <w:r>
        <w:rPr>
          <w:rFonts w:hint="eastAsia" w:ascii="楷体_GB2312" w:hAnsi="楷体_GB2312" w:eastAsia="楷体_GB2312" w:cs="楷体_GB2312"/>
          <w:b/>
          <w:bCs/>
          <w:color w:val="000000"/>
          <w:kern w:val="0"/>
          <w:sz w:val="32"/>
          <w:szCs w:val="32"/>
          <w:highlight w:val="none"/>
          <w:shd w:val="clear" w:color="auto" w:fill="FFFFFF"/>
          <w:lang w:val="zh-CN"/>
        </w:rPr>
        <w:t>绩效分析。（</w:t>
      </w:r>
      <w:r>
        <w:rPr>
          <w:rFonts w:hint="eastAsia" w:ascii="楷体_GB2312" w:hAnsi="楷体_GB2312" w:eastAsia="楷体_GB2312" w:cs="楷体_GB2312"/>
          <w:b/>
          <w:bCs/>
          <w:color w:val="000000"/>
          <w:kern w:val="0"/>
          <w:sz w:val="32"/>
          <w:szCs w:val="32"/>
          <w:highlight w:val="none"/>
          <w:shd w:val="clear" w:color="auto" w:fill="FFFFFF"/>
          <w:lang w:val="en-US" w:eastAsia="zh-CN"/>
        </w:rPr>
        <w:t>52.89分</w:t>
      </w:r>
      <w:r>
        <w:rPr>
          <w:rFonts w:hint="eastAsia" w:ascii="楷体_GB2312" w:hAnsi="楷体_GB2312" w:eastAsia="楷体_GB2312" w:cs="楷体_GB2312"/>
          <w:b/>
          <w:bCs/>
          <w:color w:val="000000"/>
          <w:kern w:val="0"/>
          <w:sz w:val="32"/>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项目决策</w:t>
      </w:r>
      <w:r>
        <w:rPr>
          <w:rFonts w:hint="eastAsia" w:ascii="仿宋_GB2312" w:hAnsi="仿宋_GB2312" w:eastAsia="仿宋_GB2312" w:cs="仿宋_GB2312"/>
          <w:color w:val="auto"/>
          <w:sz w:val="32"/>
          <w:szCs w:val="32"/>
          <w:lang w:val="en-US" w:eastAsia="zh-CN"/>
        </w:rPr>
        <w:t>(18分）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auto"/>
          <w:sz w:val="32"/>
          <w:szCs w:val="32"/>
          <w:lang w:eastAsia="zh-CN"/>
        </w:rPr>
        <w:t>决策程序（</w:t>
      </w:r>
      <w:r>
        <w:rPr>
          <w:rFonts w:hint="eastAsia" w:ascii="仿宋_GB2312" w:hAnsi="仿宋_GB2312" w:eastAsia="仿宋_GB2312" w:cs="仿宋_GB2312"/>
          <w:color w:val="auto"/>
          <w:sz w:val="32"/>
          <w:szCs w:val="32"/>
          <w:lang w:val="en-US" w:eastAsia="zh-CN"/>
        </w:rPr>
        <w:t>6分）</w:t>
      </w:r>
      <w:r>
        <w:rPr>
          <w:rFonts w:hint="eastAsia" w:ascii="仿宋_GB2312" w:hAnsi="仿宋_GB2312" w:eastAsia="仿宋_GB2312" w:cs="仿宋_GB2312"/>
          <w:color w:val="auto"/>
          <w:sz w:val="32"/>
          <w:szCs w:val="32"/>
          <w:lang w:eastAsia="zh-CN"/>
        </w:rPr>
        <w:t>：项目设立、调整延续等方面符合资金管理基本规范和决策程序要求。项目设立依据</w:t>
      </w:r>
      <w:r>
        <w:rPr>
          <w:rFonts w:hint="eastAsia" w:ascii="仿宋_GB2312" w:hAnsi="仿宋_GB2312" w:eastAsia="仿宋_GB2312" w:cs="仿宋_GB2312"/>
          <w:color w:val="000000"/>
          <w:kern w:val="0"/>
          <w:sz w:val="32"/>
          <w:szCs w:val="32"/>
          <w:lang w:val="en-US" w:eastAsia="zh-CN" w:bidi="ar"/>
        </w:rPr>
        <w:t>《关于印发阿坝州加速消除宫颈癌行动实施方案（2023-2030年）的通知》（阿州卫健发〔2023〕2号）、《黑水县卫生健康局关于印发（黑水县2024年9岁-14岁女孩国产二价宫颈癌疫苗免费接种实施方案）的通知》（黑卫健发）〔2024〕52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规划论证（</w:t>
      </w:r>
      <w:r>
        <w:rPr>
          <w:rFonts w:hint="eastAsia" w:ascii="仿宋_GB2312" w:hAnsi="仿宋_GB2312" w:eastAsia="仿宋_GB2312" w:cs="仿宋_GB2312"/>
          <w:color w:val="auto"/>
          <w:sz w:val="32"/>
          <w:szCs w:val="32"/>
          <w:lang w:val="en-US" w:eastAsia="zh-CN"/>
        </w:rPr>
        <w:t>6分）</w:t>
      </w:r>
      <w:r>
        <w:rPr>
          <w:rFonts w:hint="eastAsia" w:ascii="仿宋_GB2312" w:hAnsi="仿宋_GB2312" w:eastAsia="仿宋_GB2312" w:cs="仿宋_GB2312"/>
          <w:color w:val="auto"/>
          <w:sz w:val="32"/>
          <w:szCs w:val="32"/>
          <w:lang w:eastAsia="zh-CN"/>
        </w:rPr>
        <w:t>：项目规划符合</w:t>
      </w:r>
      <w:r>
        <w:rPr>
          <w:rFonts w:hint="eastAsia" w:ascii="仿宋_GB2312" w:hAnsi="仿宋_GB2312" w:eastAsia="仿宋_GB2312" w:cs="仿宋_GB2312"/>
          <w:color w:val="000000"/>
          <w:kern w:val="0"/>
          <w:sz w:val="32"/>
          <w:szCs w:val="32"/>
          <w:lang w:val="en-US" w:eastAsia="zh-CN" w:bidi="ar"/>
        </w:rPr>
        <w:t>（阿州卫健发〔2023〕2号）、（黑卫健发）〔2024〕52号</w:t>
      </w:r>
      <w:r>
        <w:rPr>
          <w:rFonts w:hint="eastAsia" w:ascii="仿宋_GB2312" w:hAnsi="仿宋_GB2312" w:eastAsia="仿宋_GB2312" w:cs="仿宋_GB2312"/>
          <w:b w:val="0"/>
          <w:bCs w:val="0"/>
          <w:color w:val="000000"/>
          <w:sz w:val="32"/>
          <w:szCs w:val="32"/>
          <w:lang w:eastAsia="zh-CN"/>
        </w:rPr>
        <w:t>文件要求</w:t>
      </w:r>
      <w:r>
        <w:rPr>
          <w:rFonts w:hint="eastAsia" w:ascii="仿宋_GB2312" w:hAnsi="仿宋_GB2312" w:eastAsia="仿宋_GB2312" w:cs="仿宋_GB2312"/>
          <w:color w:val="auto"/>
          <w:sz w:val="32"/>
          <w:szCs w:val="32"/>
          <w:lang w:eastAsia="zh-CN"/>
        </w:rPr>
        <w:t>；项目充分评估了论证项目立项必要性、前瞻性、合理性和可行性；项目总体绩效目标设置合理性的偏离度≤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lang w:eastAsia="zh-CN"/>
        </w:rPr>
        <w:t>%；绩效目标科学合理、规范完整、量化细化、预算匹配。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资金投向（</w:t>
      </w:r>
      <w:r>
        <w:rPr>
          <w:rFonts w:hint="eastAsia" w:ascii="仿宋_GB2312" w:hAnsi="仿宋_GB2312" w:eastAsia="仿宋_GB2312" w:cs="仿宋_GB2312"/>
          <w:color w:val="auto"/>
          <w:sz w:val="32"/>
          <w:szCs w:val="32"/>
          <w:lang w:val="en-US" w:eastAsia="zh-CN"/>
        </w:rPr>
        <w:t>6分）：该项目</w:t>
      </w:r>
      <w:r>
        <w:rPr>
          <w:rFonts w:hint="eastAsia" w:ascii="仿宋_GB2312" w:hAnsi="仿宋_GB2312" w:eastAsia="仿宋_GB2312" w:cs="仿宋_GB2312"/>
          <w:color w:val="auto"/>
          <w:sz w:val="32"/>
          <w:szCs w:val="32"/>
          <w:lang w:eastAsia="zh-CN"/>
        </w:rPr>
        <w:t>属于政府支持范围，且符合财政事权支出责任划分规定；资金投向与项目总体规划、相关行业事业发展相匹配；聚焦重大任务、重点领域、重点环节和重点项目，体现“集中力量</w:t>
      </w:r>
      <w:bookmarkStart w:id="0" w:name="_GoBack"/>
      <w:bookmarkEnd w:id="0"/>
      <w:r>
        <w:rPr>
          <w:rFonts w:hint="eastAsia" w:ascii="仿宋_GB2312" w:hAnsi="仿宋_GB2312" w:eastAsia="仿宋_GB2312" w:cs="仿宋_GB2312"/>
          <w:color w:val="auto"/>
          <w:sz w:val="32"/>
          <w:szCs w:val="32"/>
          <w:lang w:eastAsia="zh-CN"/>
        </w:rPr>
        <w:t>办大事”原则；未与其他同类项目或部门内部相关项目交叉重复。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项目管理</w:t>
      </w:r>
      <w:r>
        <w:rPr>
          <w:rFonts w:hint="eastAsia" w:ascii="仿宋_GB2312" w:hAnsi="仿宋_GB2312" w:eastAsia="仿宋_GB2312" w:cs="仿宋_GB2312"/>
          <w:color w:val="auto"/>
          <w:sz w:val="32"/>
          <w:szCs w:val="32"/>
          <w:lang w:val="en-US" w:eastAsia="zh-CN"/>
        </w:rPr>
        <w:t xml:space="preserve"> （17分）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制度办法（</w:t>
      </w:r>
      <w:r>
        <w:rPr>
          <w:rFonts w:hint="eastAsia" w:ascii="仿宋_GB2312" w:hAnsi="仿宋_GB2312" w:eastAsia="仿宋_GB2312" w:cs="仿宋_GB2312"/>
          <w:color w:val="auto"/>
          <w:sz w:val="32"/>
          <w:szCs w:val="32"/>
          <w:lang w:val="en-US" w:eastAsia="zh-CN"/>
        </w:rPr>
        <w:t>1分</w:t>
      </w:r>
      <w:r>
        <w:rPr>
          <w:rFonts w:hint="eastAsia" w:ascii="仿宋_GB2312" w:hAnsi="仿宋_GB2312" w:eastAsia="仿宋_GB2312" w:cs="仿宋_GB2312"/>
          <w:color w:val="auto"/>
          <w:sz w:val="32"/>
          <w:szCs w:val="32"/>
          <w:lang w:eastAsia="zh-CN"/>
        </w:rPr>
        <w:t>）：因上级项目资金使用方案已明确规定资金用于接种宫颈癌疫苗，单位未制定资金使用计划，资金管理办法等管理制度体系仍需进一步完善。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分配管理（</w:t>
      </w:r>
      <w:r>
        <w:rPr>
          <w:rFonts w:hint="eastAsia" w:ascii="仿宋_GB2312" w:hAnsi="仿宋_GB2312" w:eastAsia="仿宋_GB2312" w:cs="仿宋_GB2312"/>
          <w:color w:val="auto"/>
          <w:sz w:val="32"/>
          <w:szCs w:val="32"/>
          <w:lang w:val="en-US" w:eastAsia="zh-CN"/>
        </w:rPr>
        <w:t>10分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）因素分配法：资金分配因素选取充分考虑相关行业事业发展实际和发展需求；资金分配因素的权重设置有效突出项目实施重点；资金区域分布结果公平合理。（</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）项目分配法：预算管理一体化有项目库；实行入库项目动态管理，按月、按季度开展动态监控；明确项目申报审核程序，按规定程序履行项目审批，项目申报符合州级要求。（</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）其他分配法：资金分配依据充分合理。资金分配严格按管理办法执行，决策程序符合管理要求，及时高效。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绩效监管（</w:t>
      </w:r>
      <w:r>
        <w:rPr>
          <w:rFonts w:hint="eastAsia" w:ascii="仿宋_GB2312" w:hAnsi="仿宋_GB2312" w:eastAsia="仿宋_GB2312" w:cs="仿宋_GB2312"/>
          <w:color w:val="auto"/>
          <w:sz w:val="32"/>
          <w:szCs w:val="32"/>
          <w:lang w:val="en-US" w:eastAsia="zh-CN"/>
        </w:rPr>
        <w:t>6分</w:t>
      </w:r>
      <w:r>
        <w:rPr>
          <w:rFonts w:hint="eastAsia" w:ascii="仿宋_GB2312" w:hAnsi="仿宋_GB2312" w:eastAsia="仿宋_GB2312" w:cs="仿宋_GB2312"/>
          <w:color w:val="auto"/>
          <w:sz w:val="32"/>
          <w:szCs w:val="32"/>
          <w:lang w:eastAsia="zh-CN"/>
        </w:rPr>
        <w:t>）：项目按州、县要求全面完成绩效目标（含事前评估）、绩效评价、以前年度问题整改等预算绩效管理工作；省级部门对市县主管部门预算绩效管理要求到位，州、县资金分配和项目管理指导力度充足。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3.项目实施（8.99分）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预算</w:t>
      </w:r>
      <w:r>
        <w:rPr>
          <w:rFonts w:hint="eastAsia" w:ascii="仿宋_GB2312" w:hAnsi="仿宋_GB2312" w:eastAsia="仿宋_GB2312" w:cs="仿宋_GB2312"/>
          <w:color w:val="auto"/>
          <w:sz w:val="32"/>
          <w:szCs w:val="32"/>
          <w:lang w:val="zh-CN" w:eastAsia="zh-CN"/>
        </w:rPr>
        <w:t>执行（</w:t>
      </w:r>
      <w:r>
        <w:rPr>
          <w:rFonts w:hint="eastAsia" w:ascii="仿宋_GB2312" w:hAnsi="仿宋_GB2312" w:eastAsia="仿宋_GB2312" w:cs="仿宋_GB2312"/>
          <w:color w:val="auto"/>
          <w:sz w:val="32"/>
          <w:szCs w:val="32"/>
          <w:lang w:val="en-US" w:eastAsia="zh-CN"/>
        </w:rPr>
        <w:t>5.99分</w:t>
      </w:r>
      <w:r>
        <w:rPr>
          <w:rFonts w:hint="eastAsia" w:ascii="仿宋_GB2312" w:hAnsi="仿宋_GB2312" w:eastAsia="仿宋_GB2312" w:cs="仿宋_GB2312"/>
          <w:color w:val="auto"/>
          <w:sz w:val="32"/>
          <w:szCs w:val="32"/>
          <w:lang w:val="zh-CN" w:eastAsia="zh-CN"/>
        </w:rPr>
        <w:t>）：该项指标得分=</w:t>
      </w:r>
      <w:r>
        <w:rPr>
          <w:rFonts w:hint="eastAsia" w:ascii="仿宋_GB2312" w:hAnsi="仿宋_GB2312" w:eastAsia="仿宋_GB2312" w:cs="仿宋_GB2312"/>
          <w:color w:val="auto"/>
          <w:sz w:val="32"/>
          <w:szCs w:val="32"/>
          <w:lang w:val="en-US" w:eastAsia="zh-CN"/>
        </w:rPr>
        <w:t>财政资金拨付率×100%×2+单位资金使用率×100%×2+地方资金到位率×100%×2=100%</w:t>
      </w:r>
      <w:r>
        <w:rPr>
          <w:rFonts w:hint="eastAsia" w:ascii="仿宋_GB2312" w:hAnsi="仿宋_GB2312" w:eastAsia="仿宋_GB2312" w:cs="仿宋_GB2312"/>
          <w:color w:val="auto"/>
          <w:sz w:val="32"/>
          <w:szCs w:val="32"/>
          <w:lang w:val="zh-CN" w:eastAsia="zh-CN"/>
        </w:rPr>
        <w:t>×100%×2+</w:t>
      </w:r>
      <w:r>
        <w:rPr>
          <w:rFonts w:hint="eastAsia" w:ascii="仿宋_GB2312" w:hAnsi="仿宋_GB2312" w:eastAsia="仿宋_GB2312" w:cs="仿宋_GB2312"/>
          <w:color w:val="auto"/>
          <w:sz w:val="32"/>
          <w:szCs w:val="32"/>
          <w:lang w:val="en-US" w:eastAsia="zh-CN"/>
        </w:rPr>
        <w:t>99.87%</w:t>
      </w:r>
      <w:r>
        <w:rPr>
          <w:rFonts w:hint="eastAsia" w:ascii="仿宋_GB2312" w:hAnsi="仿宋_GB2312" w:eastAsia="仿宋_GB2312" w:cs="仿宋_GB2312"/>
          <w:color w:val="auto"/>
          <w:sz w:val="32"/>
          <w:szCs w:val="32"/>
          <w:lang w:val="zh-CN" w:eastAsia="zh-CN"/>
        </w:rPr>
        <w:t>×</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val="zh-CN" w:eastAsia="zh-CN"/>
        </w:rPr>
        <w:t>%×2+</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val="zh-CN" w:eastAsia="zh-CN"/>
        </w:rPr>
        <w:t>×100%×2</w:t>
      </w:r>
      <w:r>
        <w:rPr>
          <w:rFonts w:hint="eastAsia" w:ascii="仿宋_GB2312" w:hAnsi="仿宋_GB2312" w:eastAsia="仿宋_GB2312" w:cs="仿宋_GB2312"/>
          <w:color w:val="auto"/>
          <w:sz w:val="32"/>
          <w:szCs w:val="32"/>
          <w:lang w:val="en-US" w:eastAsia="zh-CN"/>
        </w:rPr>
        <w:t>=5.99分。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资金使用（</w:t>
      </w:r>
      <w:r>
        <w:rPr>
          <w:rFonts w:hint="eastAsia" w:ascii="仿宋_GB2312" w:hAnsi="仿宋_GB2312" w:eastAsia="仿宋_GB2312" w:cs="仿宋_GB2312"/>
          <w:color w:val="auto"/>
          <w:sz w:val="32"/>
          <w:szCs w:val="32"/>
          <w:lang w:val="en-US" w:eastAsia="zh-CN"/>
        </w:rPr>
        <w:t>3分</w:t>
      </w:r>
      <w:r>
        <w:rPr>
          <w:rFonts w:hint="eastAsia" w:ascii="仿宋_GB2312" w:hAnsi="仿宋_GB2312" w:eastAsia="仿宋_GB2312" w:cs="仿宋_GB2312"/>
          <w:color w:val="auto"/>
          <w:sz w:val="32"/>
          <w:szCs w:val="32"/>
          <w:lang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4.项目结果 （8.9分）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auto"/>
          <w:sz w:val="32"/>
          <w:szCs w:val="32"/>
          <w:lang w:val="en-US" w:eastAsia="zh-CN"/>
        </w:rPr>
        <w:t>目标完成（5.9分）：该项指标得分=实际完成目标任务量÷首次批复立项设定绩效目标任务总量×100%×6=118÷120×100%×6=5.9分。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完成时效（</w:t>
      </w:r>
      <w:r>
        <w:rPr>
          <w:rFonts w:hint="eastAsia" w:ascii="仿宋_GB2312" w:hAnsi="仿宋_GB2312" w:eastAsia="仿宋_GB2312" w:cs="仿宋_GB2312"/>
          <w:color w:val="auto"/>
          <w:sz w:val="32"/>
          <w:szCs w:val="32"/>
          <w:lang w:val="en-US" w:eastAsia="zh-CN"/>
        </w:rPr>
        <w:t>3分</w:t>
      </w:r>
      <w:r>
        <w:rPr>
          <w:rFonts w:hint="eastAsia" w:ascii="仿宋_GB2312" w:hAnsi="仿宋_GB2312" w:eastAsia="仿宋_GB2312" w:cs="仿宋_GB2312"/>
          <w:color w:val="auto"/>
          <w:sz w:val="32"/>
          <w:szCs w:val="32"/>
          <w:lang w:eastAsia="zh-CN"/>
        </w:rPr>
        <w:t>）：该项指标得分=（1-(</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lang w:eastAsia="zh-CN"/>
        </w:rPr>
        <w:t>）×100%×3</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lang w:eastAsia="zh-CN"/>
        </w:rPr>
        <w:t>指标以月数为单位。实际完成时间-计划完成时间等于0，得</w:t>
      </w:r>
      <w:r>
        <w:rPr>
          <w:rFonts w:hint="eastAsia" w:ascii="仿宋_GB2312" w:hAnsi="仿宋_GB2312" w:eastAsia="仿宋_GB2312" w:cs="仿宋_GB2312"/>
          <w:color w:val="auto"/>
          <w:sz w:val="32"/>
          <w:szCs w:val="32"/>
          <w:lang w:val="en-US" w:eastAsia="zh-CN"/>
        </w:rPr>
        <w:t>3分。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楷体_GB2312" w:hAnsi="楷体_GB2312" w:eastAsia="楷体_GB2312" w:cs="楷体_GB2312"/>
          <w:color w:val="auto"/>
          <w:sz w:val="32"/>
          <w:szCs w:val="32"/>
          <w:lang w:val="zh-CN" w:eastAsia="zh-CN"/>
        </w:rPr>
      </w:pPr>
      <w:r>
        <w:rPr>
          <w:rFonts w:hint="eastAsia" w:ascii="楷体_GB2312" w:hAnsi="楷体_GB2312" w:eastAsia="楷体_GB2312" w:cs="楷体_GB2312"/>
          <w:b/>
          <w:color w:val="auto"/>
          <w:sz w:val="32"/>
          <w:szCs w:val="32"/>
          <w:highlight w:val="none"/>
          <w:u w:val="none"/>
          <w:lang w:val="zh-CN"/>
        </w:rPr>
        <w:t>（二）</w:t>
      </w:r>
      <w:r>
        <w:rPr>
          <w:rFonts w:hint="eastAsia" w:ascii="楷体_GB2312" w:hAnsi="楷体_GB2312" w:eastAsia="楷体_GB2312" w:cs="楷体_GB2312"/>
          <w:b/>
          <w:color w:val="auto"/>
          <w:sz w:val="32"/>
          <w:szCs w:val="32"/>
          <w:highlight w:val="none"/>
          <w:u w:val="none"/>
          <w:lang w:val="en-US" w:eastAsia="zh-CN"/>
        </w:rPr>
        <w:t>专用指标</w:t>
      </w:r>
      <w:r>
        <w:rPr>
          <w:rFonts w:hint="eastAsia" w:ascii="楷体_GB2312" w:hAnsi="楷体_GB2312" w:eastAsia="楷体_GB2312" w:cs="楷体_GB2312"/>
          <w:b/>
          <w:bCs/>
          <w:color w:val="auto"/>
          <w:kern w:val="0"/>
          <w:sz w:val="32"/>
          <w:szCs w:val="32"/>
          <w:highlight w:val="none"/>
          <w:shd w:val="clear" w:color="auto" w:fill="FFFFFF"/>
          <w:lang w:val="zh-CN"/>
        </w:rPr>
        <w:t>绩效分析（</w:t>
      </w:r>
      <w:r>
        <w:rPr>
          <w:rFonts w:hint="eastAsia" w:ascii="楷体_GB2312" w:hAnsi="楷体_GB2312" w:eastAsia="楷体_GB2312" w:cs="楷体_GB2312"/>
          <w:b/>
          <w:bCs/>
          <w:color w:val="auto"/>
          <w:kern w:val="0"/>
          <w:sz w:val="32"/>
          <w:szCs w:val="32"/>
          <w:highlight w:val="none"/>
          <w:shd w:val="clear" w:color="auto" w:fill="FFFFFF"/>
          <w:lang w:val="en-US" w:eastAsia="zh-CN"/>
        </w:rPr>
        <w:t>29.75分</w:t>
      </w:r>
      <w:r>
        <w:rPr>
          <w:rFonts w:hint="eastAsia" w:ascii="楷体_GB2312" w:hAnsi="楷体_GB2312" w:eastAsia="楷体_GB2312" w:cs="楷体_GB2312"/>
          <w:b/>
          <w:bCs/>
          <w:color w:val="auto"/>
          <w:kern w:val="0"/>
          <w:sz w:val="32"/>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val="zh-CN" w:eastAsia="zh-CN"/>
        </w:rPr>
      </w:pPr>
      <w:r>
        <w:rPr>
          <w:rFonts w:hint="eastAsia" w:ascii="仿宋_GB2312" w:hAnsi="仿宋_GB2312" w:eastAsia="仿宋_GB2312" w:cs="仿宋_GB2312"/>
          <w:color w:val="auto"/>
          <w:sz w:val="32"/>
          <w:szCs w:val="32"/>
          <w:lang w:val="zh-CN" w:eastAsia="zh-CN"/>
        </w:rPr>
        <w:t>民生保障：该项目主要涉及民生保障。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区域均衡性（</w:t>
      </w:r>
      <w:r>
        <w:rPr>
          <w:rFonts w:hint="eastAsia" w:ascii="仿宋_GB2312" w:hAnsi="仿宋_GB2312" w:eastAsia="仿宋_GB2312" w:cs="仿宋_GB2312"/>
          <w:color w:val="auto"/>
          <w:sz w:val="32"/>
          <w:szCs w:val="32"/>
          <w:lang w:val="en-US" w:eastAsia="zh-CN"/>
        </w:rPr>
        <w:t>10分</w:t>
      </w:r>
      <w:r>
        <w:rPr>
          <w:rFonts w:hint="eastAsia" w:ascii="仿宋_GB2312" w:hAnsi="仿宋_GB2312" w:eastAsia="仿宋_GB2312" w:cs="仿宋_GB2312"/>
          <w:color w:val="auto"/>
          <w:sz w:val="32"/>
          <w:szCs w:val="32"/>
          <w:lang w:eastAsia="zh-CN"/>
        </w:rPr>
        <w:t>）：该项目实施提升了我县适龄女性人乳头瘤病毒（宫颈癌）疫苗接种率。</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对象精准性（</w:t>
      </w:r>
      <w:r>
        <w:rPr>
          <w:rFonts w:hint="eastAsia" w:ascii="仿宋_GB2312" w:hAnsi="仿宋_GB2312" w:eastAsia="仿宋_GB2312" w:cs="仿宋_GB2312"/>
          <w:color w:val="auto"/>
          <w:sz w:val="32"/>
          <w:szCs w:val="32"/>
          <w:lang w:val="en-US" w:eastAsia="zh-CN"/>
        </w:rPr>
        <w:t>10分</w:t>
      </w:r>
      <w:r>
        <w:rPr>
          <w:rFonts w:hint="eastAsia" w:ascii="仿宋_GB2312" w:hAnsi="仿宋_GB2312" w:eastAsia="仿宋_GB2312" w:cs="仿宋_GB2312"/>
          <w:color w:val="auto"/>
          <w:sz w:val="32"/>
          <w:szCs w:val="32"/>
          <w:lang w:eastAsia="zh-CN"/>
        </w:rPr>
        <w:t>）：该项指标得分=（</w:t>
      </w:r>
      <w:r>
        <w:rPr>
          <w:rFonts w:hint="eastAsia" w:ascii="仿宋_GB2312" w:hAnsi="仿宋_GB2312" w:eastAsia="仿宋_GB2312" w:cs="仿宋_GB2312"/>
          <w:color w:val="auto"/>
          <w:sz w:val="32"/>
          <w:szCs w:val="32"/>
          <w:lang w:val="en-US" w:eastAsia="zh-CN"/>
        </w:rPr>
        <w:t>118</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118</w:t>
      </w:r>
      <w:r>
        <w:rPr>
          <w:rFonts w:hint="eastAsia" w:ascii="仿宋_GB2312" w:hAnsi="仿宋_GB2312" w:eastAsia="仿宋_GB2312" w:cs="仿宋_GB2312"/>
          <w:color w:val="auto"/>
          <w:sz w:val="32"/>
          <w:szCs w:val="32"/>
          <w:lang w:eastAsia="zh-CN"/>
        </w:rPr>
        <w:t>×100%×10</w:t>
      </w:r>
      <w:r>
        <w:rPr>
          <w:rFonts w:hint="eastAsia" w:ascii="仿宋_GB2312" w:hAnsi="仿宋_GB2312" w:eastAsia="仿宋_GB2312" w:cs="仿宋_GB2312"/>
          <w:color w:val="auto"/>
          <w:sz w:val="32"/>
          <w:szCs w:val="32"/>
          <w:lang w:val="en-US" w:eastAsia="zh-CN"/>
        </w:rPr>
        <w:t>=10分。抽样的支持对象总人数118人，不符合支持对象人数0人，抽样的支持对象总人数118人。（选取宫颈癌疫苗接种服务对象作为自评依据。第一针接种120剂，第二针118剂，两人拒绝接种。）</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highlight w:val="red"/>
          <w:lang w:val="en-US" w:eastAsia="zh-CN"/>
        </w:rPr>
      </w:pPr>
      <w:r>
        <w:rPr>
          <w:rFonts w:hint="eastAsia" w:ascii="仿宋_GB2312" w:hAnsi="仿宋_GB2312" w:eastAsia="仿宋_GB2312" w:cs="仿宋_GB2312"/>
          <w:color w:val="auto"/>
          <w:sz w:val="32"/>
          <w:szCs w:val="32"/>
          <w:lang w:eastAsia="zh-CN"/>
        </w:rPr>
        <w:t>标准合理性（</w:t>
      </w:r>
      <w:r>
        <w:rPr>
          <w:rFonts w:hint="eastAsia" w:ascii="仿宋_GB2312" w:hAnsi="仿宋_GB2312" w:eastAsia="仿宋_GB2312" w:cs="仿宋_GB2312"/>
          <w:color w:val="auto"/>
          <w:sz w:val="32"/>
          <w:szCs w:val="32"/>
          <w:lang w:val="en-US" w:eastAsia="zh-CN"/>
        </w:rPr>
        <w:t>5分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该项指标得分=（118-0）÷118×100%×5=5分。（选取宫颈癌疫苗接种服务对象作为自评依据。第一针接种120剂，第二针118剂，两人拒绝接种）</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群众满意度（</w:t>
      </w:r>
      <w:r>
        <w:rPr>
          <w:rFonts w:hint="eastAsia" w:ascii="仿宋_GB2312" w:hAnsi="仿宋_GB2312" w:eastAsia="仿宋_GB2312" w:cs="仿宋_GB2312"/>
          <w:color w:val="auto"/>
          <w:sz w:val="32"/>
          <w:szCs w:val="32"/>
          <w:lang w:val="en-US" w:eastAsia="zh-CN"/>
        </w:rPr>
        <w:t>4.75分</w:t>
      </w:r>
      <w:r>
        <w:rPr>
          <w:rFonts w:hint="eastAsia" w:ascii="仿宋_GB2312" w:hAnsi="仿宋_GB2312" w:eastAsia="仿宋_GB2312" w:cs="仿宋_GB2312"/>
          <w:color w:val="auto"/>
          <w:sz w:val="32"/>
          <w:szCs w:val="32"/>
          <w:lang w:eastAsia="zh-CN"/>
        </w:rPr>
        <w:t>）：该项指标得分=</w:t>
      </w:r>
      <w:r>
        <w:rPr>
          <w:rFonts w:hint="eastAsia" w:ascii="仿宋_GB2312" w:hAnsi="仿宋_GB2312" w:eastAsia="仿宋_GB2312" w:cs="仿宋_GB2312"/>
          <w:color w:val="auto"/>
          <w:sz w:val="32"/>
          <w:szCs w:val="32"/>
          <w:lang w:val="en-US" w:eastAsia="zh-CN"/>
        </w:rPr>
        <w:t>0.95</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lang w:eastAsia="zh-CN"/>
        </w:rPr>
        <w:t>%×5</w:t>
      </w:r>
      <w:r>
        <w:rPr>
          <w:rFonts w:hint="eastAsia" w:ascii="仿宋_GB2312" w:hAnsi="仿宋_GB2312" w:eastAsia="仿宋_GB2312" w:cs="仿宋_GB2312"/>
          <w:color w:val="auto"/>
          <w:sz w:val="32"/>
          <w:szCs w:val="32"/>
          <w:lang w:val="en-US" w:eastAsia="zh-CN"/>
        </w:rPr>
        <w:t>=4.75分。</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textAlignment w:val="auto"/>
        <w:outlineLvl w:val="9"/>
        <w:rPr>
          <w:rFonts w:hint="eastAsia" w:ascii="楷体_GB2312" w:hAnsi="楷体_GB2312" w:eastAsia="楷体_GB2312" w:cs="楷体_GB2312"/>
          <w:b/>
          <w:bCs w:val="0"/>
          <w:color w:val="auto"/>
          <w:sz w:val="32"/>
          <w:szCs w:val="32"/>
          <w:lang w:val="en-US" w:eastAsia="zh-CN"/>
        </w:rPr>
      </w:pPr>
      <w:r>
        <w:rPr>
          <w:rFonts w:hint="eastAsia" w:ascii="楷体_GB2312" w:hAnsi="楷体_GB2312" w:eastAsia="楷体_GB2312" w:cs="楷体_GB2312"/>
          <w:b/>
          <w:bCs w:val="0"/>
          <w:color w:val="auto"/>
          <w:sz w:val="32"/>
          <w:szCs w:val="32"/>
          <w:highlight w:val="none"/>
          <w:u w:val="none"/>
          <w:lang w:val="en-US" w:eastAsia="zh-CN"/>
        </w:rPr>
        <w:t>个性指标</w:t>
      </w:r>
      <w:r>
        <w:rPr>
          <w:rFonts w:hint="eastAsia" w:ascii="楷体_GB2312" w:hAnsi="楷体_GB2312" w:eastAsia="楷体_GB2312" w:cs="楷体_GB2312"/>
          <w:b/>
          <w:bCs w:val="0"/>
          <w:color w:val="auto"/>
          <w:kern w:val="0"/>
          <w:sz w:val="32"/>
          <w:szCs w:val="32"/>
          <w:highlight w:val="none"/>
          <w:shd w:val="clear" w:color="auto" w:fill="FFFFFF"/>
          <w:lang w:val="zh-CN"/>
        </w:rPr>
        <w:t>绩效分析（</w:t>
      </w:r>
      <w:r>
        <w:rPr>
          <w:rFonts w:hint="eastAsia" w:ascii="楷体_GB2312" w:hAnsi="楷体_GB2312" w:eastAsia="楷体_GB2312" w:cs="楷体_GB2312"/>
          <w:b/>
          <w:bCs w:val="0"/>
          <w:color w:val="auto"/>
          <w:kern w:val="0"/>
          <w:sz w:val="32"/>
          <w:szCs w:val="32"/>
          <w:highlight w:val="none"/>
          <w:shd w:val="clear" w:color="auto" w:fill="FFFFFF"/>
          <w:lang w:val="en-US" w:eastAsia="zh-CN"/>
        </w:rPr>
        <w:t>15.87分</w:t>
      </w:r>
      <w:r>
        <w:rPr>
          <w:rFonts w:hint="eastAsia" w:ascii="楷体_GB2312" w:hAnsi="楷体_GB2312" w:eastAsia="楷体_GB2312" w:cs="楷体_GB2312"/>
          <w:b/>
          <w:bCs w:val="0"/>
          <w:color w:val="auto"/>
          <w:kern w:val="0"/>
          <w:sz w:val="32"/>
          <w:szCs w:val="32"/>
          <w:highlight w:val="none"/>
          <w:shd w:val="clear" w:color="auto" w:fill="FFFFFF"/>
          <w:lang w:val="zh-CN"/>
        </w:rPr>
        <w:t>）</w:t>
      </w:r>
    </w:p>
    <w:p>
      <w:pPr>
        <w:pageBreakBefore w:val="0"/>
        <w:wordWrap/>
        <w:overflowPunct/>
        <w:topLinePunct w:val="0"/>
        <w:bidi w:val="0"/>
        <w:spacing w:line="560" w:lineRule="exact"/>
        <w:ind w:firstLine="640" w:firstLineChars="200"/>
        <w:rPr>
          <w:rStyle w:val="18"/>
          <w:rFonts w:hint="eastAsia" w:ascii="仿宋_GB2312" w:hAnsi="仿宋_GB2312" w:eastAsia="仿宋_GB2312" w:cs="仿宋_GB2312"/>
          <w:color w:val="auto"/>
          <w:sz w:val="32"/>
          <w:szCs w:val="32"/>
          <w:lang w:val="en-US" w:eastAsia="zh-CN"/>
        </w:rPr>
      </w:pPr>
      <w:r>
        <w:rPr>
          <w:rStyle w:val="18"/>
          <w:rFonts w:hint="eastAsia" w:ascii="仿宋_GB2312" w:hAnsi="仿宋_GB2312" w:eastAsia="仿宋_GB2312" w:cs="仿宋_GB2312"/>
          <w:color w:val="auto"/>
          <w:kern w:val="2"/>
          <w:sz w:val="32"/>
          <w:szCs w:val="32"/>
          <w:lang w:val="en-US" w:eastAsia="zh-CN" w:bidi="ar-SA"/>
        </w:rPr>
        <w:t>数量指标（7.87分）：</w:t>
      </w:r>
      <w:r>
        <w:rPr>
          <w:rFonts w:hint="eastAsia" w:ascii="仿宋_GB2312" w:hAnsi="仿宋_GB2312" w:eastAsia="仿宋_GB2312" w:cs="仿宋_GB2312"/>
          <w:sz w:val="32"/>
          <w:szCs w:val="32"/>
          <w:lang w:val="en-US" w:eastAsia="zh-CN"/>
        </w:rPr>
        <w:t>9-14岁免费接种二价宫颈癌疫苗120人（任务数），</w:t>
      </w:r>
      <w:r>
        <w:rPr>
          <w:rFonts w:hint="eastAsia" w:ascii="仿宋_GB2312" w:hAnsi="仿宋_GB2312" w:eastAsia="仿宋_GB2312" w:cs="仿宋_GB2312"/>
          <w:color w:val="auto"/>
          <w:sz w:val="32"/>
          <w:szCs w:val="32"/>
          <w:lang w:val="en-US" w:eastAsia="zh-CN"/>
        </w:rPr>
        <w:t>第一针接种120剂，第二针118剂，两人拒绝接种</w:t>
      </w:r>
      <w:r>
        <w:rPr>
          <w:rFonts w:hint="eastAsia" w:ascii="仿宋_GB2312" w:hAnsi="仿宋_GB2312" w:eastAsia="仿宋_GB2312" w:cs="仿宋_GB2312"/>
          <w:sz w:val="32"/>
          <w:szCs w:val="32"/>
          <w:lang w:val="en-US" w:eastAsia="zh-CN"/>
        </w:rPr>
        <w:t>，实际完成118人。</w:t>
      </w:r>
    </w:p>
    <w:p>
      <w:pPr>
        <w:pStyle w:val="14"/>
        <w:pageBreakBefore w:val="0"/>
        <w:wordWrap/>
        <w:overflowPunct/>
        <w:topLinePunct w:val="0"/>
        <w:bidi w:val="0"/>
        <w:spacing w:line="560" w:lineRule="exact"/>
        <w:ind w:left="0" w:leftChars="0" w:firstLine="640" w:firstLineChars="200"/>
        <w:rPr>
          <w:rFonts w:hint="eastAsia" w:ascii="仿宋_GB2312" w:hAnsi="仿宋_GB2312" w:eastAsia="仿宋_GB2312" w:cs="仿宋_GB2312"/>
          <w:sz w:val="32"/>
          <w:szCs w:val="32"/>
          <w:lang w:val="en-US" w:eastAsia="zh-CN"/>
        </w:rPr>
      </w:pPr>
      <w:r>
        <w:rPr>
          <w:rStyle w:val="18"/>
          <w:rFonts w:hint="eastAsia" w:ascii="仿宋_GB2312" w:hAnsi="仿宋_GB2312" w:eastAsia="仿宋_GB2312" w:cs="仿宋_GB2312"/>
          <w:color w:val="auto"/>
          <w:sz w:val="32"/>
          <w:szCs w:val="32"/>
          <w:lang w:eastAsia="zh-CN"/>
        </w:rPr>
        <w:t>效益指标</w:t>
      </w:r>
      <w:r>
        <w:rPr>
          <w:rStyle w:val="18"/>
          <w:rFonts w:hint="eastAsia" w:ascii="仿宋_GB2312" w:hAnsi="仿宋_GB2312" w:eastAsia="仿宋_GB2312" w:cs="仿宋_GB2312"/>
          <w:color w:val="auto"/>
          <w:kern w:val="2"/>
          <w:sz w:val="32"/>
          <w:szCs w:val="32"/>
          <w:lang w:val="en-US" w:eastAsia="zh-CN" w:bidi="ar-SA"/>
        </w:rPr>
        <w:t>（8分）</w:t>
      </w:r>
      <w:r>
        <w:rPr>
          <w:rStyle w:val="18"/>
          <w:rFonts w:hint="eastAsia" w:ascii="仿宋_GB2312" w:hAnsi="仿宋_GB2312" w:eastAsia="仿宋_GB2312" w:cs="仿宋_GB2312"/>
          <w:color w:val="auto"/>
          <w:sz w:val="32"/>
          <w:szCs w:val="32"/>
          <w:lang w:eastAsia="zh-CN"/>
        </w:rPr>
        <w:t>：</w:t>
      </w:r>
      <w:r>
        <w:rPr>
          <w:rStyle w:val="18"/>
          <w:rFonts w:hint="eastAsia" w:ascii="仿宋_GB2312" w:hAnsi="仿宋_GB2312" w:eastAsia="仿宋_GB2312" w:cs="仿宋_GB2312"/>
          <w:color w:val="auto"/>
          <w:sz w:val="32"/>
          <w:szCs w:val="32"/>
          <w:lang w:val="en-US" w:eastAsia="zh-CN"/>
        </w:rPr>
        <w:t>2024年12月底完成疫苗接种。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outlineLvl w:val="9"/>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pPr>
        <w:pStyle w:val="5"/>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color w:val="auto"/>
          <w:kern w:val="2"/>
          <w:position w:val="0"/>
          <w:sz w:val="32"/>
          <w:szCs w:val="32"/>
          <w:highlight w:val="none"/>
          <w:lang w:val="en-US" w:eastAsia="zh-CN" w:bidi="ar-SA"/>
        </w:rPr>
      </w:pPr>
      <w:r>
        <w:rPr>
          <w:rFonts w:hint="eastAsia" w:ascii="仿宋_GB2312" w:hAnsi="仿宋_GB2312" w:eastAsia="仿宋_GB2312" w:cs="仿宋_GB2312"/>
          <w:b w:val="0"/>
          <w:bCs w:val="0"/>
          <w:color w:val="auto"/>
          <w:kern w:val="0"/>
          <w:position w:val="0"/>
          <w:sz w:val="32"/>
          <w:szCs w:val="32"/>
          <w:highlight w:val="none"/>
          <w:lang w:val="en-US" w:eastAsia="zh-CN" w:bidi="ar-SA"/>
        </w:rPr>
        <w:t>该项专项预算项目绩效自评总体结论优异，自评得分98.51分，项目实施范围符合州、县要求，并按照完成了项目资金拨付，截止2024年12月31日，资金使用率达99.87%。</w:t>
      </w:r>
    </w:p>
    <w:p>
      <w:pPr>
        <w:pStyle w:val="5"/>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pPr>
        <w:pageBreakBefore w:val="0"/>
        <w:numPr>
          <w:ilvl w:val="0"/>
          <w:numId w:val="0"/>
        </w:numPr>
        <w:wordWrap/>
        <w:overflowPunct/>
        <w:topLinePunct w:val="0"/>
        <w:bidi w:val="0"/>
        <w:spacing w:line="560" w:lineRule="exact"/>
        <w:ind w:firstLine="640" w:firstLineChars="200"/>
        <w:jc w:val="left"/>
        <w:rPr>
          <w:rFonts w:hint="eastAsia"/>
          <w:lang w:val="en-US" w:eastAsia="zh-CN"/>
        </w:rPr>
      </w:pPr>
      <w:r>
        <w:rPr>
          <w:rFonts w:hint="eastAsia" w:ascii="仿宋_GB2312" w:hAnsi="仿宋_GB2312" w:eastAsia="仿宋_GB2312" w:cs="仿宋_GB2312"/>
          <w:color w:val="auto"/>
          <w:sz w:val="32"/>
          <w:szCs w:val="32"/>
          <w:lang w:val="en-US" w:eastAsia="zh-CN"/>
        </w:rPr>
        <w:t>符合接种条件的部分适龄女性对接种疫苗存在一些抵触心理，疫苗接种积极性不高。接种服务对象第一剂接种后，外出学习，返回本县接种第二剂困难。</w:t>
      </w:r>
    </w:p>
    <w:p>
      <w:pPr>
        <w:pStyle w:val="5"/>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pPr>
        <w:pageBreakBefore w:val="0"/>
        <w:tabs>
          <w:tab w:val="left" w:pos="1911"/>
        </w:tabs>
        <w:wordWrap/>
        <w:overflowPunct/>
        <w:topLinePunct w:val="0"/>
        <w:bidi w:val="0"/>
        <w:spacing w:line="560" w:lineRule="exact"/>
        <w:jc w:val="left"/>
        <w:rPr>
          <w:rFonts w:hint="eastAsia" w:ascii="仿宋_GB2312" w:hAnsi="仿宋_GB2312" w:eastAsia="仿宋_GB2312" w:cs="仿宋_GB2312"/>
          <w:color w:val="000000"/>
          <w:kern w:val="0"/>
          <w:szCs w:val="32"/>
          <w:highlight w:val="none"/>
          <w:shd w:val="clear" w:color="auto" w:fill="FFFFFF"/>
          <w:lang w:val="en-US" w:eastAsia="zh-CN"/>
        </w:rPr>
      </w:pPr>
      <w:r>
        <w:rPr>
          <w:rFonts w:hint="eastAsia" w:ascii="仿宋_GB2312" w:hAnsi="仿宋_GB2312" w:cs="仿宋_GB2312"/>
          <w:b w:val="0"/>
          <w:bCs w:val="0"/>
          <w:color w:val="auto"/>
          <w:kern w:val="0"/>
          <w:position w:val="0"/>
          <w:sz w:val="32"/>
          <w:szCs w:val="32"/>
          <w:highlight w:val="none"/>
          <w:lang w:val="en-US" w:eastAsia="zh-CN" w:bidi="ar-SA"/>
        </w:rPr>
        <w:t xml:space="preserve">  </w:t>
      </w:r>
      <w:r>
        <w:rPr>
          <w:rFonts w:hint="eastAsia" w:ascii="仿宋_GB2312" w:hAnsi="仿宋_GB2312" w:eastAsia="仿宋_GB2312" w:cs="仿宋_GB2312"/>
          <w:b w:val="0"/>
          <w:bCs w:val="0"/>
          <w:color w:val="auto"/>
          <w:kern w:val="0"/>
          <w:position w:val="0"/>
          <w:sz w:val="32"/>
          <w:szCs w:val="32"/>
          <w:highlight w:val="none"/>
          <w:lang w:val="en-US" w:eastAsia="zh-CN" w:bidi="ar-SA"/>
        </w:rPr>
        <w:t xml:space="preserve"> 加大接种疫苗宣传活动，提升适龄女性对疫苗接种的接受度，进一步提高我县疫苗接种率。</w:t>
      </w:r>
    </w:p>
    <w:p>
      <w:pPr>
        <w:pStyle w:val="2"/>
        <w:rPr>
          <w:rFonts w:hint="eastAsia"/>
          <w:lang w:val="zh-CN" w:eastAsia="zh-CN"/>
        </w:rPr>
      </w:pPr>
    </w:p>
    <w:p>
      <w:pPr>
        <w:pageBreakBefore w:val="0"/>
        <w:wordWrap/>
        <w:overflowPunct/>
        <w:topLinePunct w:val="0"/>
        <w:bidi w:val="0"/>
        <w:spacing w:line="560" w:lineRule="exact"/>
        <w:rPr>
          <w:rFonts w:hint="eastAsia"/>
          <w:lang w:val="zh-CN" w:eastAsia="zh-CN"/>
        </w:rPr>
      </w:pPr>
    </w:p>
    <w:p>
      <w:pPr>
        <w:keepNext w:val="0"/>
        <w:keepLines w:val="0"/>
        <w:pageBreakBefore w:val="0"/>
        <w:kinsoku/>
        <w:wordWrap/>
        <w:overflowPunct/>
        <w:topLinePunct w:val="0"/>
        <w:autoSpaceDE/>
        <w:autoSpaceDN/>
        <w:bidi w:val="0"/>
        <w:adjustRightInd/>
        <w:snapToGrid w:val="0"/>
        <w:spacing w:line="560" w:lineRule="exact"/>
        <w:ind w:left="0" w:leftChars="0" w:firstLine="1050" w:firstLineChars="5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jc w:val="left"/>
        <w:textAlignment w:val="baseline"/>
        <w:rPr>
          <w:rFonts w:hint="eastAsia" w:ascii="方正仿宋_GBK" w:hAnsi="方正仿宋_GBK" w:eastAsia="方正仿宋_GBK" w:cs="方正仿宋_GBK"/>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jc w:val="right"/>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黑水县疾病预防控制中心</w:t>
      </w: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宋体" w:cs="Times New Roman"/>
          <w:kern w:val="2"/>
          <w:sz w:val="21"/>
          <w:szCs w:val="24"/>
          <w:lang w:val="zh-CN" w:eastAsia="zh-CN" w:bidi="ar-SA"/>
        </w:rPr>
      </w:pPr>
      <w:r>
        <w:rPr>
          <w:rFonts w:hint="eastAsia" w:ascii="仿宋_GB2312" w:hAnsi="仿宋_GB2312" w:eastAsia="仿宋_GB2312" w:cs="仿宋_GB2312"/>
          <w:sz w:val="32"/>
          <w:szCs w:val="32"/>
          <w:lang w:val="en-US" w:eastAsia="zh-CN"/>
        </w:rPr>
        <w:t xml:space="preserve">                                2025年</w:t>
      </w:r>
      <w:r>
        <w:rPr>
          <w:rFonts w:hint="eastAsia" w:ascii="仿宋_GB2312" w:hAnsi="仿宋" w:eastAsia="仿宋_GB2312" w:cs="仿宋"/>
        </w:rPr>
        <w:drawing>
          <wp:anchor distT="0" distB="0" distL="114935" distR="114935" simplePos="0" relativeHeight="251660288" behindDoc="1" locked="0" layoutInCell="1" allowOverlap="1">
            <wp:simplePos x="0" y="0"/>
            <wp:positionH relativeFrom="column">
              <wp:posOffset>3784600</wp:posOffset>
            </wp:positionH>
            <wp:positionV relativeFrom="paragraph">
              <wp:posOffset>-736600</wp:posOffset>
            </wp:positionV>
            <wp:extent cx="1487805" cy="1458595"/>
            <wp:effectExtent l="202565" t="196850" r="205740" b="201295"/>
            <wp:wrapNone/>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6"/>
                    <a:stretch>
                      <a:fillRect/>
                    </a:stretch>
                  </pic:blipFill>
                  <pic:spPr>
                    <a:xfrm rot="17340000">
                      <a:off x="0" y="0"/>
                      <a:ext cx="1487805" cy="1458595"/>
                    </a:xfrm>
                    <a:prstGeom prst="rect">
                      <a:avLst/>
                    </a:prstGeom>
                  </pic:spPr>
                </pic:pic>
              </a:graphicData>
            </a:graphic>
          </wp:anchor>
        </w:drawing>
      </w:r>
      <w:r>
        <w:rPr>
          <w:rFonts w:hint="eastAsia" w:ascii="仿宋_GB2312" w:hAnsi="仿宋_GB2312" w:eastAsia="仿宋_GB2312" w:cs="仿宋_GB2312"/>
          <w:sz w:val="32"/>
          <w:szCs w:val="32"/>
          <w:lang w:val="en-US" w:eastAsia="zh-CN"/>
        </w:rPr>
        <w:t>5月20日</w:t>
      </w:r>
    </w:p>
    <w:p>
      <w:pPr>
        <w:pStyle w:val="2"/>
        <w:pageBreakBefore w:val="0"/>
        <w:wordWrap/>
        <w:overflowPunct/>
        <w:topLinePunct w:val="0"/>
        <w:bidi w:val="0"/>
        <w:spacing w:line="560" w:lineRule="exact"/>
        <w:rPr>
          <w:rFonts w:hint="default" w:ascii="Times New Roman" w:hAnsi="Times New Roman" w:eastAsia="宋体" w:cs="Times New Roman"/>
          <w:kern w:val="2"/>
          <w:sz w:val="21"/>
          <w:szCs w:val="24"/>
          <w:lang w:val="zh-CN" w:eastAsia="zh-CN" w:bidi="ar-SA"/>
        </w:rPr>
      </w:pPr>
    </w:p>
    <w:p>
      <w:pPr>
        <w:pStyle w:val="7"/>
        <w:keepNext w:val="0"/>
        <w:keepLines w:val="0"/>
        <w:pageBreakBefore w:val="0"/>
        <w:pBdr>
          <w:top w:val="single" w:color="auto" w:sz="4" w:space="1"/>
          <w:bottom w:val="single" w:color="auto" w:sz="4" w:space="1"/>
          <w:between w:val="single" w:color="auto" w:sz="4" w:space="1"/>
        </w:pBdr>
        <w:kinsoku/>
        <w:wordWrap/>
        <w:overflowPunct/>
        <w:topLinePunct w:val="0"/>
        <w:bidi w:val="0"/>
        <w:snapToGrid/>
        <w:spacing w:line="560" w:lineRule="exact"/>
        <w:ind w:firstLine="140" w:firstLineChars="50"/>
        <w:jc w:val="left"/>
        <w:rPr>
          <w:rFonts w:hint="eastAsia"/>
          <w:lang w:val="en-US" w:eastAsia="zh-CN"/>
        </w:rPr>
      </w:pPr>
      <w:r>
        <w:rPr>
          <w:rFonts w:hint="eastAsia" w:ascii="仿宋_GB2312" w:eastAsia="仿宋_GB2312"/>
          <w:sz w:val="28"/>
          <w:szCs w:val="28"/>
          <w:lang w:val="en-US" w:eastAsia="zh-CN"/>
        </w:rPr>
        <w:t>黑水县</w:t>
      </w:r>
      <w:r>
        <w:rPr>
          <w:rFonts w:hint="eastAsia" w:ascii="仿宋_GB2312" w:eastAsia="仿宋_GB2312"/>
          <w:sz w:val="28"/>
          <w:szCs w:val="28"/>
        </w:rPr>
        <w:t xml:space="preserve">疾病预防控制中心           </w:t>
      </w:r>
      <w:r>
        <w:rPr>
          <w:rFonts w:hint="eastAsia" w:ascii="仿宋_GB2312" w:eastAsia="仿宋_GB2312"/>
          <w:sz w:val="28"/>
          <w:szCs w:val="28"/>
          <w:lang w:val="en-US" w:eastAsia="zh-CN"/>
        </w:rPr>
        <w:t xml:space="preserve">          </w:t>
      </w:r>
      <w:r>
        <w:rPr>
          <w:rFonts w:hint="eastAsia" w:ascii="仿宋_GB2312" w:eastAsia="仿宋_GB2312"/>
          <w:sz w:val="28"/>
          <w:szCs w:val="28"/>
        </w:rPr>
        <w:t>202</w:t>
      </w:r>
      <w:r>
        <w:rPr>
          <w:rFonts w:hint="eastAsia" w:ascii="仿宋_GB2312" w:eastAsia="仿宋_GB2312"/>
          <w:sz w:val="28"/>
          <w:szCs w:val="28"/>
          <w:lang w:val="en-US" w:eastAsia="zh-CN"/>
        </w:rPr>
        <w:t>5</w:t>
      </w:r>
      <w:r>
        <w:rPr>
          <w:rFonts w:hint="eastAsia" w:ascii="仿宋_GB2312" w:eastAsia="仿宋_GB2312"/>
          <w:sz w:val="28"/>
          <w:szCs w:val="28"/>
        </w:rPr>
        <w:t>年</w:t>
      </w:r>
      <w:r>
        <w:rPr>
          <w:rFonts w:hint="eastAsia" w:ascii="仿宋_GB2312" w:eastAsia="仿宋_GB2312"/>
          <w:sz w:val="28"/>
          <w:szCs w:val="28"/>
          <w:lang w:val="en-US" w:eastAsia="zh-CN"/>
        </w:rPr>
        <w:t>5</w:t>
      </w:r>
      <w:r>
        <w:rPr>
          <w:rFonts w:hint="eastAsia" w:ascii="仿宋_GB2312" w:eastAsia="仿宋_GB2312"/>
          <w:sz w:val="28"/>
          <w:szCs w:val="28"/>
        </w:rPr>
        <w:t>月</w:t>
      </w:r>
      <w:r>
        <w:rPr>
          <w:rFonts w:hint="eastAsia" w:ascii="仿宋_GB2312" w:eastAsia="仿宋_GB2312"/>
          <w:sz w:val="28"/>
          <w:szCs w:val="28"/>
          <w:lang w:val="en-US" w:eastAsia="zh-CN"/>
        </w:rPr>
        <w:t>20</w:t>
      </w:r>
      <w:r>
        <w:rPr>
          <w:rFonts w:hint="eastAsia" w:ascii="仿宋_GB2312" w:eastAsia="仿宋_GB2312"/>
          <w:sz w:val="28"/>
          <w:szCs w:val="28"/>
        </w:rPr>
        <w:t>日印</w:t>
      </w:r>
    </w:p>
    <w:sectPr>
      <w:footerReference r:id="rId3" w:type="even"/>
      <w:pgSz w:w="11907" w:h="17010"/>
      <w:pgMar w:top="2098" w:right="1474" w:bottom="1985" w:left="1588" w:header="851" w:footer="153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auto"/>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
    <w:altName w:val="AR PL UKai CN"/>
    <w:panose1 w:val="00000000000000000000"/>
    <w:charset w:val="00"/>
    <w:family w:val="roman"/>
    <w:pitch w:val="default"/>
    <w:sig w:usb0="00000000" w:usb1="00000000" w:usb2="00000000" w:usb3="00000000" w:csb0="00040001" w:csb1="00000000"/>
  </w:font>
  <w:font w:name="AR PL UKai CN">
    <w:panose1 w:val="02000503000000000000"/>
    <w:charset w:val="86"/>
    <w:family w:val="auto"/>
    <w:pitch w:val="default"/>
    <w:sig w:usb0="A00002FF" w:usb1="3ACFFDFF" w:usb2="00000036" w:usb3="00000000" w:csb0="2016009F" w:csb1="DFD70000"/>
  </w:font>
  <w:font w:name="新宋体">
    <w:altName w:val="方正书宋_GBK"/>
    <w:panose1 w:val="02010609030101010101"/>
    <w:charset w:val="86"/>
    <w:family w:val="modern"/>
    <w:pitch w:val="default"/>
    <w:sig w:usb0="00000000" w:usb1="00000000" w:usb2="00000006" w:usb3="00000000" w:csb0="00040001" w:csb1="00000000"/>
  </w:font>
  <w:font w:name="华文中宋">
    <w:altName w:val="方正书宋_GBK"/>
    <w:panose1 w:val="02010600040101010101"/>
    <w:charset w:val="86"/>
    <w:family w:val="auto"/>
    <w:pitch w:val="default"/>
    <w:sig w:usb0="00000000" w:usb1="0000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315" w:leftChars="150" w:right="315" w:rightChars="150"/>
      <w:jc w:val="both"/>
      <w:rPr>
        <w:rFonts w:ascii="宋体" w:hAnsi="宋体"/>
        <w:sz w:val="30"/>
        <w:szCs w:val="30"/>
      </w:rPr>
    </w:pPr>
    <w:r>
      <w:rPr>
        <w:rFonts w:hint="eastAsia" w:ascii="宋体" w:hAnsi="宋体"/>
        <w:sz w:val="30"/>
        <w:szCs w:val="30"/>
      </w:rPr>
      <w:t xml:space="preserve">― </w:t>
    </w:r>
    <w:r>
      <w:rPr>
        <w:rFonts w:hint="eastAsia" w:ascii="宋体" w:hAnsi="宋体"/>
        <w:sz w:val="30"/>
        <w:szCs w:val="30"/>
      </w:rPr>
      <w:fldChar w:fldCharType="begin"/>
    </w:r>
    <w:r>
      <w:rPr>
        <w:rFonts w:hint="eastAsia" w:ascii="宋体" w:hAnsi="宋体"/>
        <w:sz w:val="30"/>
        <w:szCs w:val="30"/>
      </w:rPr>
      <w:instrText xml:space="preserve"> PAGE </w:instrText>
    </w:r>
    <w:r>
      <w:rPr>
        <w:rFonts w:hint="eastAsia" w:ascii="宋体" w:hAnsi="宋体"/>
        <w:sz w:val="30"/>
        <w:szCs w:val="30"/>
      </w:rPr>
      <w:fldChar w:fldCharType="separate"/>
    </w:r>
    <w:r>
      <w:rPr>
        <w:rFonts w:ascii="宋体" w:hAnsi="宋体"/>
        <w:sz w:val="30"/>
        <w:szCs w:val="30"/>
      </w:rPr>
      <w:t>2</w:t>
    </w:r>
    <w:r>
      <w:rPr>
        <w:rFonts w:hint="eastAsia" w:ascii="宋体" w:hAnsi="宋体"/>
        <w:sz w:val="30"/>
        <w:szCs w:val="30"/>
      </w:rPr>
      <w:fldChar w:fldCharType="end"/>
    </w:r>
    <w:r>
      <w:rPr>
        <w:rFonts w:hint="eastAsia" w:ascii="宋体" w:hAnsi="宋体"/>
        <w:sz w:val="30"/>
        <w:szCs w:val="30"/>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825FD0"/>
    <w:multiLevelType w:val="singleLevel"/>
    <w:tmpl w:val="A1825FD0"/>
    <w:lvl w:ilvl="0" w:tentative="0">
      <w:start w:val="2"/>
      <w:numFmt w:val="chineseCounting"/>
      <w:suff w:val="nothing"/>
      <w:lvlText w:val="（%1）"/>
      <w:lvlJc w:val="left"/>
      <w:rPr>
        <w:rFonts w:hint="eastAsia"/>
      </w:rPr>
    </w:lvl>
  </w:abstractNum>
  <w:abstractNum w:abstractNumId="1">
    <w:nsid w:val="E6857523"/>
    <w:multiLevelType w:val="singleLevel"/>
    <w:tmpl w:val="E6857523"/>
    <w:lvl w:ilvl="0" w:tentative="0">
      <w:start w:val="2"/>
      <w:numFmt w:val="chineseCounting"/>
      <w:suff w:val="nothing"/>
      <w:lvlText w:val="（%1）"/>
      <w:lvlJc w:val="left"/>
      <w:rPr>
        <w:rFonts w:hint="eastAsia"/>
      </w:rPr>
    </w:lvl>
  </w:abstractNum>
  <w:abstractNum w:abstractNumId="2">
    <w:nsid w:val="ECB34FCB"/>
    <w:multiLevelType w:val="singleLevel"/>
    <w:tmpl w:val="ECB34FCB"/>
    <w:lvl w:ilvl="0" w:tentative="0">
      <w:start w:val="3"/>
      <w:numFmt w:val="chineseCounting"/>
      <w:suff w:val="nothing"/>
      <w:lvlText w:val="（%1）"/>
      <w:lvlJc w:val="left"/>
      <w:pPr>
        <w:ind w:left="-10"/>
      </w:pPr>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attachedTemplate r:id="rId1"/>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3ZjRlNDcxMGM3ZTIwNjk2NTllYjNmMWUxZDQzYzIifQ=="/>
  </w:docVars>
  <w:rsids>
    <w:rsidRoot w:val="003E28AB"/>
    <w:rsid w:val="000313C5"/>
    <w:rsid w:val="0005691A"/>
    <w:rsid w:val="00060809"/>
    <w:rsid w:val="0008343D"/>
    <w:rsid w:val="000D2889"/>
    <w:rsid w:val="00121037"/>
    <w:rsid w:val="00130C2E"/>
    <w:rsid w:val="00132A4B"/>
    <w:rsid w:val="00134692"/>
    <w:rsid w:val="0019433E"/>
    <w:rsid w:val="001E3CA4"/>
    <w:rsid w:val="001E532D"/>
    <w:rsid w:val="002107D3"/>
    <w:rsid w:val="00263D4F"/>
    <w:rsid w:val="00267874"/>
    <w:rsid w:val="00276BF6"/>
    <w:rsid w:val="002A67C1"/>
    <w:rsid w:val="002B6B2C"/>
    <w:rsid w:val="002D2AEA"/>
    <w:rsid w:val="002E2950"/>
    <w:rsid w:val="00324ED7"/>
    <w:rsid w:val="00327512"/>
    <w:rsid w:val="00330B1D"/>
    <w:rsid w:val="00372878"/>
    <w:rsid w:val="003A255E"/>
    <w:rsid w:val="003B5246"/>
    <w:rsid w:val="003C4F6C"/>
    <w:rsid w:val="003C55B1"/>
    <w:rsid w:val="003D1848"/>
    <w:rsid w:val="003E28AB"/>
    <w:rsid w:val="003E59EA"/>
    <w:rsid w:val="004B3ED2"/>
    <w:rsid w:val="004C662B"/>
    <w:rsid w:val="00546FE8"/>
    <w:rsid w:val="0056277D"/>
    <w:rsid w:val="005705D6"/>
    <w:rsid w:val="0057571B"/>
    <w:rsid w:val="0059163B"/>
    <w:rsid w:val="005E16A6"/>
    <w:rsid w:val="00611264"/>
    <w:rsid w:val="006350DC"/>
    <w:rsid w:val="006617D0"/>
    <w:rsid w:val="006645A1"/>
    <w:rsid w:val="006B63E9"/>
    <w:rsid w:val="007238A1"/>
    <w:rsid w:val="007356DF"/>
    <w:rsid w:val="00742B93"/>
    <w:rsid w:val="00744A60"/>
    <w:rsid w:val="007C6C64"/>
    <w:rsid w:val="007D121D"/>
    <w:rsid w:val="007D4A33"/>
    <w:rsid w:val="007D4FF4"/>
    <w:rsid w:val="00822DFA"/>
    <w:rsid w:val="00845A67"/>
    <w:rsid w:val="00855491"/>
    <w:rsid w:val="008576FE"/>
    <w:rsid w:val="00863EFA"/>
    <w:rsid w:val="008839AF"/>
    <w:rsid w:val="00894AEA"/>
    <w:rsid w:val="008958EB"/>
    <w:rsid w:val="008A69DA"/>
    <w:rsid w:val="008E0B1E"/>
    <w:rsid w:val="008F4501"/>
    <w:rsid w:val="009146B1"/>
    <w:rsid w:val="00941FB6"/>
    <w:rsid w:val="00946217"/>
    <w:rsid w:val="009803E7"/>
    <w:rsid w:val="009A6C3C"/>
    <w:rsid w:val="009C2CB5"/>
    <w:rsid w:val="00A74311"/>
    <w:rsid w:val="00AB00B5"/>
    <w:rsid w:val="00AB69DB"/>
    <w:rsid w:val="00AD6146"/>
    <w:rsid w:val="00AE17C3"/>
    <w:rsid w:val="00AF2240"/>
    <w:rsid w:val="00B02D2B"/>
    <w:rsid w:val="00B647C3"/>
    <w:rsid w:val="00B87748"/>
    <w:rsid w:val="00BC5A72"/>
    <w:rsid w:val="00C65602"/>
    <w:rsid w:val="00C738DA"/>
    <w:rsid w:val="00CA48E6"/>
    <w:rsid w:val="00CC05BD"/>
    <w:rsid w:val="00D0743E"/>
    <w:rsid w:val="00D508B9"/>
    <w:rsid w:val="00DF4911"/>
    <w:rsid w:val="00E17DD5"/>
    <w:rsid w:val="00E30327"/>
    <w:rsid w:val="00E60171"/>
    <w:rsid w:val="00E64F86"/>
    <w:rsid w:val="00E83D19"/>
    <w:rsid w:val="00EA4C38"/>
    <w:rsid w:val="00EB1343"/>
    <w:rsid w:val="00EB7997"/>
    <w:rsid w:val="00F13FC9"/>
    <w:rsid w:val="00F449E2"/>
    <w:rsid w:val="00F7138E"/>
    <w:rsid w:val="00FB05B4"/>
    <w:rsid w:val="00FF0EED"/>
    <w:rsid w:val="02402EC0"/>
    <w:rsid w:val="05524952"/>
    <w:rsid w:val="06E445EA"/>
    <w:rsid w:val="07A735CC"/>
    <w:rsid w:val="0BA614B9"/>
    <w:rsid w:val="14F13869"/>
    <w:rsid w:val="1BB9554D"/>
    <w:rsid w:val="204B6033"/>
    <w:rsid w:val="236B0C61"/>
    <w:rsid w:val="25B03DE2"/>
    <w:rsid w:val="295A7167"/>
    <w:rsid w:val="318C4BC4"/>
    <w:rsid w:val="33664FA1"/>
    <w:rsid w:val="3FEEDAF6"/>
    <w:rsid w:val="45015701"/>
    <w:rsid w:val="47DB040C"/>
    <w:rsid w:val="495B3342"/>
    <w:rsid w:val="4AD22143"/>
    <w:rsid w:val="4E781049"/>
    <w:rsid w:val="4F2D1A89"/>
    <w:rsid w:val="53B62910"/>
    <w:rsid w:val="55BA5C3A"/>
    <w:rsid w:val="5835551B"/>
    <w:rsid w:val="6AC00E5F"/>
    <w:rsid w:val="74216BE3"/>
    <w:rsid w:val="74367B7D"/>
    <w:rsid w:val="754077FF"/>
    <w:rsid w:val="79A31A12"/>
    <w:rsid w:val="7AB27FC7"/>
    <w:rsid w:val="F53FB6EC"/>
    <w:rsid w:val="FEFFF3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qFormat="1"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4"/>
    <w:basedOn w:val="1"/>
    <w:next w:val="1"/>
    <w:unhideWhenUsed/>
    <w:qFormat/>
    <w:uiPriority w:val="9"/>
    <w:pPr>
      <w:keepNext/>
      <w:keepLines/>
      <w:jc w:val="left"/>
      <w:outlineLvl w:val="3"/>
    </w:pPr>
    <w:rPr>
      <w:rFonts w:asciiTheme="majorHAnsi" w:hAnsiTheme="majorHAnsi" w:cstheme="majorBidi"/>
      <w:bCs/>
      <w:szCs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5">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6">
    <w:name w:val="Body Text Indent"/>
    <w:basedOn w:val="1"/>
    <w:qFormat/>
    <w:uiPriority w:val="0"/>
    <w:pPr>
      <w:ind w:firstLine="4680" w:firstLineChars="1300"/>
    </w:pPr>
    <w:rPr>
      <w:rFonts w:eastAsia="仿宋_GB2312"/>
      <w:b/>
      <w:bCs/>
      <w:sz w:val="36"/>
    </w:rPr>
  </w:style>
  <w:style w:type="paragraph" w:styleId="7">
    <w:name w:val="Plain Text"/>
    <w:basedOn w:val="1"/>
    <w:qFormat/>
    <w:uiPriority w:val="0"/>
    <w:pPr>
      <w:widowControl w:val="0"/>
      <w:jc w:val="both"/>
    </w:pPr>
    <w:rPr>
      <w:rFonts w:hAnsi="Courier New" w:cs="Courier New"/>
      <w:kern w:val="2"/>
      <w:sz w:val="21"/>
      <w:szCs w:val="21"/>
    </w:rPr>
  </w:style>
  <w:style w:type="paragraph" w:styleId="8">
    <w:name w:val="Date"/>
    <w:basedOn w:val="1"/>
    <w:next w:val="1"/>
    <w:qFormat/>
    <w:uiPriority w:val="0"/>
  </w:style>
  <w:style w:type="paragraph" w:styleId="9">
    <w:name w:val="Body Text Indent 2"/>
    <w:basedOn w:val="1"/>
    <w:qFormat/>
    <w:uiPriority w:val="0"/>
    <w:pPr>
      <w:spacing w:before="240"/>
      <w:ind w:firstLine="720" w:firstLineChars="225"/>
    </w:pPr>
    <w:rPr>
      <w:rFonts w:ascii="仿宋_GB2312" w:eastAsia="仿宋_GB2312"/>
      <w:sz w:val="32"/>
      <w:szCs w:val="32"/>
    </w:rPr>
  </w:style>
  <w:style w:type="paragraph" w:styleId="10">
    <w:name w:val="Balloon Text"/>
    <w:basedOn w:val="1"/>
    <w:link w:val="21"/>
    <w:semiHidden/>
    <w:unhideWhenUsed/>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Indent 3"/>
    <w:basedOn w:val="1"/>
    <w:qFormat/>
    <w:uiPriority w:val="0"/>
    <w:pPr>
      <w:ind w:firstLine="640" w:firstLineChars="200"/>
    </w:pPr>
    <w:rPr>
      <w:rFonts w:ascii="仿宋_GB2312" w:eastAsia="仿宋_GB2312"/>
      <w:sz w:val="32"/>
    </w:rPr>
  </w:style>
  <w:style w:type="paragraph" w:styleId="14">
    <w:name w:val="table of figures"/>
    <w:basedOn w:val="1"/>
    <w:next w:val="1"/>
    <w:unhideWhenUsed/>
    <w:qFormat/>
    <w:uiPriority w:val="99"/>
    <w:pPr>
      <w:ind w:left="200" w:leftChars="200" w:hanging="200" w:hangingChars="200"/>
    </w:pPr>
  </w:style>
  <w:style w:type="paragraph" w:styleId="15">
    <w:name w:val="Body Text First Indent 2"/>
    <w:basedOn w:val="6"/>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styleId="20">
    <w:name w:val="Hyperlink"/>
    <w:basedOn w:val="18"/>
    <w:qFormat/>
    <w:uiPriority w:val="0"/>
    <w:rPr>
      <w:color w:val="0000FF"/>
      <w:u w:val="single"/>
    </w:rPr>
  </w:style>
  <w:style w:type="character" w:customStyle="1" w:styleId="21">
    <w:name w:val="批注框文本 Char"/>
    <w:basedOn w:val="18"/>
    <w:link w:val="10"/>
    <w:semiHidden/>
    <w:qFormat/>
    <w:uiPriority w:val="0"/>
    <w:rPr>
      <w:kern w:val="2"/>
      <w:sz w:val="18"/>
      <w:szCs w:val="18"/>
    </w:rPr>
  </w:style>
  <w:style w:type="paragraph" w:customStyle="1" w:styleId="22">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lenovo\Desktop\&#26032;&#24314;&#25991;&#20214;&#22841;%20(3)\2024&#24180;&#24029;&#30142;&#21457;&#65288;&#24179;&#34892;&#65289;.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2024年川疾发（平行）.dot</Template>
  <Pages>7</Pages>
  <Words>4353</Words>
  <Characters>4813</Characters>
  <Lines>46</Lines>
  <Paragraphs>13</Paragraphs>
  <TotalTime>8</TotalTime>
  <ScaleCrop>false</ScaleCrop>
  <LinksUpToDate>false</LinksUpToDate>
  <CharactersWithSpaces>4920</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2024-03-28T18:01:00Z</dcterms:created>
  <dc:creator>梁传惠</dc:creator>
  <cp:lastModifiedBy>user</cp:lastModifiedBy>
  <cp:lastPrinted>2024-12-27T19:39:00Z</cp:lastPrinted>
  <dcterms:modified xsi:type="dcterms:W3CDTF">2025-11-13T10:20:45Z</dcterms:modified>
  <dc:title>关于建立西南疾病预防控制培训基地的报告</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8BF1784153B3443594091666D86AE01F_13</vt:lpwstr>
  </property>
  <property fmtid="{D5CDD505-2E9C-101B-9397-08002B2CF9AE}" pid="4" name="KSOTemplateDocerSaveRecord">
    <vt:lpwstr>eyJoZGlkIjoiNGZkZDlkNjg5NWVkNWU2ZDNmZGZjYjczNjZmMTIwMmYiLCJ1c2VySWQiOiIzMjY5NjEzMjEifQ==</vt:lpwstr>
  </property>
</Properties>
</file>