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-66675</wp:posOffset>
            </wp:positionH>
            <wp:positionV relativeFrom="paragraph">
              <wp:posOffset>431165</wp:posOffset>
            </wp:positionV>
            <wp:extent cx="5604510" cy="2792730"/>
            <wp:effectExtent l="0" t="0" r="15240" b="7620"/>
            <wp:wrapNone/>
            <wp:docPr id="1" name="图片 2" descr="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红头"/>
                    <pic:cNvPicPr>
                      <a:picLocks noChangeAspect="1"/>
                    </pic:cNvPicPr>
                  </pic:nvPicPr>
                  <pic:blipFill>
                    <a:blip r:embed="rId5"/>
                    <a:stretch>
                      <a:fillRect/>
                    </a:stretch>
                  </pic:blipFill>
                  <pic:spPr>
                    <a:xfrm>
                      <a:off x="0" y="0"/>
                      <a:ext cx="5604510" cy="2792730"/>
                    </a:xfrm>
                    <a:prstGeom prst="rect">
                      <a:avLst/>
                    </a:prstGeom>
                    <a:noFill/>
                    <a:ln>
                      <a:noFill/>
                    </a:ln>
                  </pic:spPr>
                </pic:pic>
              </a:graphicData>
            </a:graphic>
          </wp:anchor>
        </w:drawing>
      </w:r>
    </w:p>
    <w:p>
      <w:pPr>
        <w:spacing w:before="240" w:line="560" w:lineRule="exact"/>
        <w:rPr>
          <w:rFonts w:hint="eastAsia" w:ascii="仿宋_GB2312" w:hAnsi="仿宋_GB2312" w:eastAsia="仿宋_GB2312" w:cs="仿宋_GB2312"/>
          <w:sz w:val="32"/>
          <w:szCs w:val="32"/>
        </w:rPr>
      </w:pPr>
    </w:p>
    <w:p>
      <w:pPr>
        <w:spacing w:before="240" w:line="560" w:lineRule="exact"/>
        <w:rPr>
          <w:rFonts w:hint="eastAsia" w:ascii="仿宋_GB2312" w:hAnsi="仿宋_GB2312" w:eastAsia="仿宋_GB2312" w:cs="仿宋_GB2312"/>
          <w:sz w:val="32"/>
          <w:szCs w:val="32"/>
        </w:rPr>
      </w:pPr>
    </w:p>
    <w:p>
      <w:pPr>
        <w:spacing w:before="240" w:line="240" w:lineRule="auto"/>
        <w:rPr>
          <w:rFonts w:hint="eastAsia" w:ascii="仿宋_GB2312" w:hAnsi="仿宋_GB2312" w:eastAsia="仿宋_GB2312" w:cs="仿宋_GB2312"/>
          <w:sz w:val="32"/>
          <w:szCs w:val="32"/>
          <w:lang w:eastAsia="zh-CN"/>
        </w:rPr>
      </w:pPr>
    </w:p>
    <w:p>
      <w:pPr>
        <w:spacing w:before="240" w:line="560" w:lineRule="exact"/>
        <w:rPr>
          <w:rFonts w:hint="eastAsia" w:ascii="仿宋_GB2312" w:hAnsi="仿宋_GB2312" w:eastAsia="仿宋_GB2312" w:cs="仿宋_GB2312"/>
          <w:sz w:val="32"/>
          <w:szCs w:val="32"/>
        </w:rPr>
      </w:pPr>
    </w:p>
    <w:p>
      <w:pPr>
        <w:spacing w:before="240" w:line="560" w:lineRule="exact"/>
        <w:ind w:firstLine="2880" w:firstLineChars="900"/>
        <w:jc w:val="both"/>
        <w:rPr>
          <w:rFonts w:hint="default" w:ascii="新宋体" w:hAnsi="新宋体" w:eastAsia="仿宋_GB2312"/>
          <w:b/>
          <w:szCs w:val="21"/>
          <w:lang w:val="en-US" w:eastAsia="zh-CN"/>
        </w:rPr>
      </w:pPr>
      <w:r>
        <w:rPr>
          <w:rFonts w:hint="eastAsia" w:ascii="仿宋_GB2312" w:hAnsi="仿宋_GB2312" w:eastAsia="仿宋_GB2312" w:cs="仿宋_GB2312"/>
          <w:sz w:val="32"/>
          <w:szCs w:val="32"/>
        </w:rPr>
        <w:t>黑疾控</w:t>
      </w:r>
      <w:r>
        <w:rPr>
          <w:rFonts w:hint="eastAsia" w:ascii="仿宋_GB2312" w:hAnsi="华文中宋" w:eastAsia="仿宋_GB2312"/>
          <w:sz w:val="32"/>
        </w:rPr>
        <w:t>〔</w:t>
      </w:r>
      <w:r>
        <w:rPr>
          <w:rFonts w:hint="eastAsia" w:ascii="仿宋_GB2312" w:hAnsi="华文中宋" w:eastAsia="仿宋_GB2312"/>
          <w:sz w:val="32"/>
          <w:lang w:val="en-US" w:eastAsia="zh-CN"/>
        </w:rPr>
        <w:t>2025</w:t>
      </w:r>
      <w:r>
        <w:rPr>
          <w:rFonts w:ascii="仿宋_GB2312" w:hAnsi="华文中宋" w:eastAsia="仿宋_GB2312"/>
          <w:sz w:val="32"/>
        </w:rPr>
        <w:t>〕</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黑水县疾病预防控制中心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医疗服务与保障能力提升专项预算项目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绩效评价报告</w:t>
      </w:r>
    </w:p>
    <w:p>
      <w:pPr>
        <w:keepNext w:val="0"/>
        <w:keepLines w:val="0"/>
        <w:pageBreakBefore w:val="0"/>
        <w:widowControl/>
        <w:kinsoku/>
        <w:wordWrap/>
        <w:overflowPunct/>
        <w:topLinePunct w:val="0"/>
        <w:autoSpaceDE/>
        <w:autoSpaceDN/>
        <w:bidi w:val="0"/>
        <w:spacing w:line="560"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val="zh-CN"/>
        </w:rPr>
      </w:pPr>
      <w:r>
        <w:rPr>
          <w:rFonts w:hint="eastAsia" w:ascii="黑体" w:hAnsi="黑体" w:eastAsia="黑体" w:cs="黑体"/>
          <w:sz w:val="32"/>
          <w:szCs w:val="32"/>
          <w:highlight w:val="none"/>
        </w:rPr>
        <w:t>一、</w:t>
      </w:r>
      <w:r>
        <w:rPr>
          <w:rFonts w:hint="eastAsia" w:ascii="黑体" w:hAnsi="黑体" w:eastAsia="黑体" w:cs="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2024年初财返《</w:t>
      </w:r>
      <w:r>
        <w:rPr>
          <w:rFonts w:hint="eastAsia" w:ascii="仿宋_GB2312" w:hAnsi="仿宋_GB2312" w:eastAsia="仿宋_GB2312" w:cs="仿宋_GB2312"/>
          <w:color w:val="auto"/>
          <w:sz w:val="32"/>
          <w:szCs w:val="32"/>
        </w:rPr>
        <w:t>阿坝州财政局 阿坝州卫健委关于提前下达2023年医疗服务与保障能力提升（医疗卫生机构能力建设、卫生健康人才培养）(阿州财社〔2023〕141号）中央补助资金38万元。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实施目的：加强疾控机构能力建设，建立智慧化预警多点触发机制，健全多渠道监测预警机制。提高监测数据报告及时性和准确性，提升分析研判能力水平，实现实时有效分析、集中会商研判和辅助应急决策指挥。促进医防协同，有序推进医疗机构与疾控机构间信息互联互通与共享。建设完成我县传染病应急队伍能力建设。</w:t>
      </w:r>
    </w:p>
    <w:p>
      <w:pPr>
        <w:pStyle w:val="5"/>
        <w:keepNext w:val="0"/>
        <w:keepLines w:val="0"/>
        <w:pageBreakBefore w:val="0"/>
        <w:widowControl/>
        <w:kinsoku/>
        <w:wordWrap/>
        <w:overflowPunct/>
        <w:topLinePunct w:val="0"/>
        <w:autoSpaceDE/>
        <w:autoSpaceDN/>
        <w:bidi w:val="0"/>
        <w:spacing w:line="560" w:lineRule="exac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sz w:val="32"/>
          <w:szCs w:val="32"/>
          <w:lang w:val="en-US" w:eastAsia="zh-CN"/>
        </w:rPr>
        <w:t>下达资金情况：</w:t>
      </w:r>
      <w:r>
        <w:rPr>
          <w:rFonts w:hint="eastAsia" w:ascii="仿宋_GB2312" w:hAnsi="仿宋_GB2312" w:eastAsia="仿宋_GB2312" w:cs="仿宋_GB2312"/>
          <w:color w:val="auto"/>
          <w:kern w:val="0"/>
          <w:position w:val="0"/>
          <w:sz w:val="32"/>
          <w:szCs w:val="32"/>
          <w:highlight w:val="none"/>
          <w:u w:val="none"/>
          <w:shd w:val="clear" w:color="auto" w:fill="FFFFFF"/>
          <w:lang w:val="en-US" w:eastAsia="zh-CN" w:bidi="ar-SA"/>
        </w:rPr>
        <w:t>2024年年初财返医疗服务与保障能力提升中央补助资金38万元，其中：传染病监测预警与应急指挥能力提升项目经费30万元，国家传染病应急队伍能力建设项目经费8万元。</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资金下达依据：</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rPr>
        <w:t>阿坝州财政局 阿坝州卫健委关于提前下达2023年医疗服务与保障能力提升（医疗卫生机构能力建设、卫生健康人才培养）(阿州财社〔2023〕141号）中央补助资金38万元。</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项目开展实施方案依据:阿坝州卫生健康委员会 关于印发《2023年医疗服务与保障能力提升 （卫生应急项目）资金分配及实施方案》的通知。  </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2024年度，我中心下达医疗服务与保障能力提升资金共计38万元，截至2024年12月31日，完成资金列支资金共计37.4万元，资金执行率达98.42%。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数量指标：成立</w:t>
      </w:r>
      <w:r>
        <w:rPr>
          <w:rStyle w:val="18"/>
          <w:rFonts w:hint="eastAsia" w:ascii="仿宋_GB2312" w:hAnsi="仿宋_GB2312" w:eastAsia="仿宋_GB2312" w:cs="仿宋_GB2312"/>
          <w:color w:val="auto"/>
          <w:sz w:val="32"/>
          <w:szCs w:val="32"/>
        </w:rPr>
        <w:t>县级传染病应急处置小分队≥4人</w:t>
      </w:r>
      <w:r>
        <w:rPr>
          <w:rFonts w:hint="eastAsia" w:ascii="仿宋_GB2312" w:hAnsi="仿宋_GB2312" w:eastAsia="仿宋_GB2312" w:cs="仿宋_GB2312"/>
          <w:color w:val="auto"/>
          <w:sz w:val="32"/>
          <w:szCs w:val="32"/>
          <w:lang w:val="en-US" w:eastAsia="zh-CN"/>
        </w:rPr>
        <w:t>；</w:t>
      </w:r>
      <w:r>
        <w:rPr>
          <w:rStyle w:val="18"/>
          <w:rFonts w:hint="eastAsia" w:ascii="仿宋_GB2312" w:hAnsi="仿宋_GB2312" w:eastAsia="仿宋_GB2312" w:cs="仿宋_GB2312"/>
          <w:color w:val="auto"/>
          <w:sz w:val="32"/>
          <w:szCs w:val="32"/>
        </w:rPr>
        <w:t>统一队员服装、设备标识及队旗配置率≥100%</w:t>
      </w:r>
      <w:r>
        <w:rPr>
          <w:rFonts w:hint="eastAsia" w:ascii="仿宋_GB2312" w:hAnsi="仿宋_GB2312" w:eastAsia="仿宋_GB2312" w:cs="仿宋_GB2312"/>
          <w:color w:val="auto"/>
          <w:sz w:val="32"/>
          <w:szCs w:val="32"/>
          <w:lang w:val="en-US" w:eastAsia="zh-CN"/>
        </w:rPr>
        <w:t>；</w:t>
      </w:r>
    </w:p>
    <w:p>
      <w:pPr>
        <w:pStyle w:val="14"/>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质量指标：全年完成对技术的升级和业务保障能力的提升，视频会议图像和声音效果显著改善，中国疾病预防控制信息系统数据传输安全性显著提升。</w:t>
      </w:r>
      <w:r>
        <w:rPr>
          <w:rFonts w:hint="eastAsia" w:ascii="仿宋_GB2312" w:hAnsi="仿宋_GB2312" w:eastAsia="仿宋_GB2312" w:cs="仿宋_GB2312"/>
          <w:color w:val="auto"/>
          <w:sz w:val="32"/>
          <w:szCs w:val="32"/>
          <w:lang w:val="en-US" w:eastAsia="zh-CN"/>
        </w:rPr>
        <w:t>。</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社会效益指标：升级传染病疫情报告网络安全防护条件，中国疾病预防控制信息系统终端设备安全防护条件逐步增强，视频会议实现与州省国家互联互通。</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时效指标：在2024年底前完成目标任务。</w:t>
      </w:r>
    </w:p>
    <w:p>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成本指标：项目成本控制率达100%。</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按照绩效评价指标体系，中心从通用指标、专用指标及个性指标对项目开展了绩效评价工作。该项目资金支出使用全过程符合基本公共卫生项目资金实施方案要求，全部用于基本公共卫生服务项目</w:t>
      </w:r>
      <w:r>
        <w:rPr>
          <w:rFonts w:hint="eastAsia" w:ascii="仿宋_GB2312" w:hAnsi="仿宋_GB2312" w:eastAsia="仿宋_GB2312" w:cs="仿宋_GB2312"/>
          <w:sz w:val="32"/>
          <w:szCs w:val="32"/>
          <w:lang w:val="en-US" w:eastAsia="zh-CN"/>
        </w:rPr>
        <w:t>，实施效果与预计效果相符。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sz w:val="32"/>
          <w:szCs w:val="32"/>
          <w:lang w:val="zh-CN" w:eastAsia="zh-CN"/>
        </w:rPr>
        <w:t>项目绩效自评主要通过抽取</w:t>
      </w:r>
      <w:r>
        <w:rPr>
          <w:rFonts w:hint="eastAsia" w:ascii="仿宋_GB2312" w:hAnsi="仿宋_GB2312" w:eastAsia="仿宋_GB2312" w:cs="仿宋_GB2312"/>
          <w:sz w:val="32"/>
          <w:szCs w:val="32"/>
          <w:lang w:val="en-US" w:eastAsia="zh-CN"/>
        </w:rPr>
        <w:t>2024年资金拨付凭证来进行自评工作，通过核查中心拨付凭证，确定了项目资金的确用于拨付基本公共卫生服务项目。</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由于该专项资金主要用于涉及民生保障，资金用途明确。我中心采用单位自评法、实地勘察法对项目进行自评工作。</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评价组人员构成如下：</w:t>
      </w:r>
    </w:p>
    <w:p>
      <w:pPr>
        <w:pStyle w:val="14"/>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组长：郭成慧</w:t>
      </w:r>
      <w:r>
        <w:rPr>
          <w:rFonts w:hint="eastAsia" w:ascii="仿宋_GB2312" w:hAnsi="仿宋_GB2312" w:eastAsia="仿宋_GB2312" w:cs="仿宋_GB2312"/>
          <w:sz w:val="32"/>
          <w:szCs w:val="32"/>
          <w:lang w:val="en-US" w:eastAsia="zh-CN"/>
        </w:rPr>
        <w:t xml:space="preserve">  指导中心主任 负责全面评价工作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成员：桑基忠  负责财务相关评价工作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何仕有  负责2024年指导办相关评价工作</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中心根据项目预算绩效评价指标体系“通用指标”“专用指标”“个性指标”三个方面对该项资金进行了全方位自评工作，具体情况如下：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b/>
          <w:color w:val="auto"/>
          <w:sz w:val="32"/>
          <w:szCs w:val="32"/>
          <w:highlight w:val="none"/>
          <w:u w:val="none"/>
          <w:lang w:val="en-US" w:eastAsia="zh-CN"/>
        </w:rPr>
      </w:pPr>
      <w:r>
        <w:rPr>
          <w:rFonts w:hint="eastAsia" w:ascii="楷体_GB2312" w:hAnsi="楷体_GB2312" w:eastAsia="楷体_GB2312" w:cs="楷体_GB2312"/>
          <w:b/>
          <w:color w:val="auto"/>
          <w:sz w:val="32"/>
          <w:szCs w:val="32"/>
          <w:highlight w:val="none"/>
          <w:u w:val="none"/>
          <w:lang w:val="zh-CN"/>
        </w:rPr>
        <w:t>（一）</w:t>
      </w:r>
      <w:r>
        <w:rPr>
          <w:rFonts w:hint="eastAsia" w:ascii="楷体_GB2312" w:hAnsi="楷体_GB2312" w:eastAsia="楷体_GB2312" w:cs="楷体_GB2312"/>
          <w:b/>
          <w:color w:val="auto"/>
          <w:sz w:val="32"/>
          <w:szCs w:val="32"/>
          <w:highlight w:val="none"/>
          <w:u w:val="none"/>
          <w:lang w:val="en-US" w:eastAsia="zh-CN"/>
        </w:rPr>
        <w:t>通用指标</w:t>
      </w:r>
      <w:r>
        <w:rPr>
          <w:rFonts w:hint="eastAsia" w:ascii="楷体_GB2312" w:hAnsi="楷体_GB2312" w:eastAsia="楷体_GB2312" w:cs="楷体_GB2312"/>
          <w:b/>
          <w:bCs/>
          <w:color w:val="000000"/>
          <w:kern w:val="0"/>
          <w:sz w:val="32"/>
          <w:szCs w:val="32"/>
          <w:highlight w:val="none"/>
          <w:shd w:val="clear" w:color="auto" w:fill="FFFFFF"/>
          <w:lang w:val="zh-CN"/>
        </w:rPr>
        <w:t>绩效分析（</w:t>
      </w:r>
      <w:r>
        <w:rPr>
          <w:rFonts w:hint="eastAsia" w:ascii="楷体_GB2312" w:hAnsi="楷体_GB2312" w:eastAsia="楷体_GB2312" w:cs="楷体_GB2312"/>
          <w:b/>
          <w:bCs/>
          <w:color w:val="000000"/>
          <w:kern w:val="0"/>
          <w:sz w:val="32"/>
          <w:szCs w:val="32"/>
          <w:highlight w:val="none"/>
          <w:shd w:val="clear" w:color="auto" w:fill="FFFFFF"/>
          <w:lang w:val="en-US" w:eastAsia="zh-CN"/>
        </w:rPr>
        <w:t>53分</w:t>
      </w:r>
      <w:r>
        <w:rPr>
          <w:rFonts w:hint="eastAsia" w:ascii="楷体_GB2312" w:hAnsi="楷体_GB2312" w:eastAsia="楷体_GB2312" w:cs="楷体_GB2312"/>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项目决策（</w:t>
      </w:r>
      <w:r>
        <w:rPr>
          <w:rFonts w:hint="eastAsia" w:ascii="仿宋_GB2312" w:hAnsi="仿宋_GB2312" w:eastAsia="仿宋_GB2312" w:cs="仿宋_GB2312"/>
          <w:color w:val="auto"/>
          <w:sz w:val="32"/>
          <w:szCs w:val="32"/>
          <w:lang w:val="en-US" w:eastAsia="zh-CN"/>
        </w:rPr>
        <w:t>18分</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color w:val="auto"/>
          <w:sz w:val="32"/>
          <w:szCs w:val="32"/>
          <w:lang w:eastAsia="zh-CN"/>
        </w:rPr>
        <w:t>决策程序（</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：项目设立、调整延续等方面符合资金管理基本规范和决策程序要求。项目设立依据</w:t>
      </w:r>
      <w:r>
        <w:rPr>
          <w:rFonts w:hint="eastAsia" w:ascii="仿宋_GB2312" w:hAnsi="仿宋_GB2312" w:eastAsia="仿宋_GB2312" w:cs="仿宋_GB2312"/>
          <w:color w:val="auto"/>
          <w:sz w:val="32"/>
          <w:szCs w:val="32"/>
        </w:rPr>
        <w:t>《财政厅省卫生健康委关于下达2023年医疗服务与保障能力提升(医疗卫生机构能力建设、卫生健康人才培养)中央补助资金的通知》(川财社(2023]120号)、《阿坝州财政局 阿坝州卫健委关于提前下达2023年医疗服务与保障能力提升（医疗卫生机构能力建设、卫生健康人才培养）中央补助资金的通知》(阿州财社〔2023〕141号）等资金文件</w:t>
      </w:r>
      <w:r>
        <w:rPr>
          <w:rFonts w:hint="eastAsia" w:ascii="仿宋_GB2312" w:hAnsi="仿宋_GB2312" w:eastAsia="仿宋_GB2312" w:cs="仿宋_GB2312"/>
          <w:b w:val="0"/>
          <w:bCs w:val="0"/>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规划论证（</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：项目规划符合</w:t>
      </w:r>
      <w:r>
        <w:rPr>
          <w:rFonts w:hint="eastAsia" w:ascii="仿宋_GB2312" w:hAnsi="仿宋_GB2312" w:eastAsia="仿宋_GB2312" w:cs="仿宋_GB2312"/>
          <w:color w:val="auto"/>
          <w:sz w:val="32"/>
          <w:szCs w:val="32"/>
        </w:rPr>
        <w:t>《财政厅省卫生健康委关于下达2023年医疗服务与保障能力提升(医疗卫生机构能力建设、卫生健康人才培养)中央补助资金的通知》(川财社(2023]120号)、《阿坝州财政局 阿坝州卫健委关于提前下达2023年医疗服务与保障能力提升（医疗卫生机构能力建设、卫生健康人才培养）中央补助资金的通知》(阿州财社〔2023〕141号）等资金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文件要求</w:t>
      </w:r>
      <w:r>
        <w:rPr>
          <w:rFonts w:hint="eastAsia" w:ascii="仿宋_GB2312" w:hAnsi="仿宋_GB2312" w:eastAsia="仿宋_GB2312" w:cs="仿宋_GB2312"/>
          <w:color w:val="auto"/>
          <w:sz w:val="32"/>
          <w:szCs w:val="32"/>
          <w:lang w:eastAsia="zh-CN"/>
        </w:rPr>
        <w:t>；项目充分评估了论证项目立项必要性、前瞻性、合理性和可行性；项目总体绩效目标设置合理性的偏离度≤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资金投向（</w:t>
      </w:r>
      <w:r>
        <w:rPr>
          <w:rFonts w:hint="eastAsia" w:ascii="仿宋_GB2312" w:hAnsi="仿宋_GB2312" w:eastAsia="仿宋_GB2312" w:cs="仿宋_GB2312"/>
          <w:color w:val="auto"/>
          <w:sz w:val="32"/>
          <w:szCs w:val="32"/>
          <w:lang w:val="en-US" w:eastAsia="zh-CN"/>
        </w:rPr>
        <w:t>6分）：该项目</w:t>
      </w:r>
      <w:r>
        <w:rPr>
          <w:rFonts w:hint="eastAsia" w:ascii="仿宋_GB2312" w:hAnsi="仿宋_GB2312" w:eastAsia="仿宋_GB2312" w:cs="仿宋_GB2312"/>
          <w:color w:val="auto"/>
          <w:sz w:val="32"/>
          <w:szCs w:val="32"/>
          <w:lang w:eastAsia="zh-CN"/>
        </w:rPr>
        <w:t>属于政府支持范围，且符合财政事权支出责任划分规定；资金投向与项目总体规划、相关行业事业发展相匹配；聚焦重大任务、重点领域、重点环节和重点项目，体现“集中力量</w:t>
      </w:r>
      <w:bookmarkStart w:id="0" w:name="_GoBack"/>
      <w:bookmarkEnd w:id="0"/>
      <w:r>
        <w:rPr>
          <w:rFonts w:hint="eastAsia" w:ascii="仿宋_GB2312" w:hAnsi="仿宋_GB2312" w:eastAsia="仿宋_GB2312" w:cs="仿宋_GB2312"/>
          <w:color w:val="auto"/>
          <w:sz w:val="32"/>
          <w:szCs w:val="32"/>
          <w:lang w:eastAsia="zh-CN"/>
        </w:rPr>
        <w:t>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项目管理</w:t>
      </w:r>
      <w:r>
        <w:rPr>
          <w:rFonts w:hint="eastAsia" w:ascii="仿宋_GB2312" w:hAnsi="仿宋_GB2312" w:eastAsia="仿宋_GB2312" w:cs="仿宋_GB2312"/>
          <w:color w:val="auto"/>
          <w:sz w:val="32"/>
          <w:szCs w:val="32"/>
          <w:lang w:val="en-US" w:eastAsia="zh-CN"/>
        </w:rPr>
        <w:t>（17分）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制度办法（</w:t>
      </w:r>
      <w:r>
        <w:rPr>
          <w:rFonts w:hint="eastAsia" w:ascii="仿宋_GB2312" w:hAnsi="仿宋_GB2312" w:eastAsia="仿宋_GB2312" w:cs="仿宋_GB2312"/>
          <w:color w:val="auto"/>
          <w:sz w:val="32"/>
          <w:szCs w:val="32"/>
          <w:lang w:val="en-US" w:eastAsia="zh-CN"/>
        </w:rPr>
        <w:t>1分</w:t>
      </w:r>
      <w:r>
        <w:rPr>
          <w:rFonts w:hint="eastAsia" w:ascii="仿宋_GB2312" w:hAnsi="仿宋_GB2312" w:eastAsia="仿宋_GB2312" w:cs="仿宋_GB2312"/>
          <w:color w:val="auto"/>
          <w:sz w:val="32"/>
          <w:szCs w:val="32"/>
          <w:lang w:eastAsia="zh-CN"/>
        </w:rPr>
        <w:t>）：单位未</w:t>
      </w:r>
      <w:r>
        <w:rPr>
          <w:rFonts w:hint="default" w:ascii="仿宋_GB2312" w:hAnsi="仿宋_GB2312" w:eastAsia="仿宋_GB2312" w:cs="仿宋_GB2312"/>
          <w:color w:val="auto"/>
          <w:sz w:val="32"/>
          <w:szCs w:val="32"/>
          <w:lang w:eastAsia="zh-CN"/>
        </w:rPr>
        <w:t>针对</w:t>
      </w:r>
      <w:r>
        <w:rPr>
          <w:rFonts w:hint="eastAsia" w:ascii="仿宋_GB2312" w:hAnsi="仿宋_GB2312" w:eastAsia="仿宋_GB2312" w:cs="仿宋_GB2312"/>
          <w:color w:val="auto"/>
          <w:sz w:val="32"/>
          <w:szCs w:val="32"/>
          <w:lang w:eastAsia="zh-CN"/>
        </w:rPr>
        <w:t>该项目单独设立资金管理办法，专项资金的使用严格按照项目实施方案以及财政相关规章制度执行。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分配管理（</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）因素分配法：资金分配因素选取充分考虑相关行业事业发展实际和发展需求；资金分配因素的权重设置有效突出项目实施重点；资金区域分布结果公平合理。（</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绩效监管（</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）：项目按省、州要求全面完成绩效目标（含事前评估）、绩效评价、以前年度问题整改等预算绩效管理工作；省级部门对市县主管部门预算绩效管理要求到位，州、县资金分配和项目管理指导力度充足。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3.项目实施（8.97分）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预算</w:t>
      </w:r>
      <w:r>
        <w:rPr>
          <w:rFonts w:hint="eastAsia" w:ascii="仿宋_GB2312" w:hAnsi="仿宋_GB2312" w:eastAsia="仿宋_GB2312" w:cs="仿宋_GB2312"/>
          <w:color w:val="auto"/>
          <w:sz w:val="32"/>
          <w:szCs w:val="32"/>
          <w:lang w:val="zh-CN" w:eastAsia="zh-CN"/>
        </w:rPr>
        <w:t>执行（</w:t>
      </w:r>
      <w:r>
        <w:rPr>
          <w:rFonts w:hint="eastAsia" w:ascii="仿宋_GB2312" w:hAnsi="仿宋_GB2312" w:eastAsia="仿宋_GB2312" w:cs="仿宋_GB2312"/>
          <w:color w:val="auto"/>
          <w:sz w:val="32"/>
          <w:szCs w:val="32"/>
          <w:lang w:val="en-US" w:eastAsia="zh-CN"/>
        </w:rPr>
        <w:t>5.97分</w:t>
      </w:r>
      <w:r>
        <w:rPr>
          <w:rFonts w:hint="eastAsia" w:ascii="仿宋_GB2312" w:hAnsi="仿宋_GB2312" w:eastAsia="仿宋_GB2312" w:cs="仿宋_GB2312"/>
          <w:color w:val="auto"/>
          <w:sz w:val="32"/>
          <w:szCs w:val="32"/>
          <w:lang w:val="zh-CN" w:eastAsia="zh-CN"/>
        </w:rPr>
        <w:t>）：该项指标得分=</w:t>
      </w:r>
      <w:r>
        <w:rPr>
          <w:rFonts w:hint="eastAsia" w:ascii="仿宋_GB2312" w:hAnsi="仿宋_GB2312" w:eastAsia="仿宋_GB2312" w:cs="仿宋_GB2312"/>
          <w:color w:val="auto"/>
          <w:sz w:val="32"/>
          <w:szCs w:val="32"/>
          <w:lang w:val="en-US" w:eastAsia="zh-CN"/>
        </w:rPr>
        <w:t>财政资金拨付率×100%×2+单位资金使用率×100%×2+地方资金到位率×100%×2=98.42%</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=5.97分。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资金使用（</w:t>
      </w:r>
      <w:r>
        <w:rPr>
          <w:rFonts w:hint="eastAsia" w:ascii="仿宋_GB2312" w:hAnsi="仿宋_GB2312" w:eastAsia="仿宋_GB2312" w:cs="仿宋_GB2312"/>
          <w:color w:val="auto"/>
          <w:sz w:val="32"/>
          <w:szCs w:val="32"/>
          <w:lang w:val="en-US" w:eastAsia="zh-CN"/>
        </w:rPr>
        <w:t>3分</w:t>
      </w:r>
      <w:r>
        <w:rPr>
          <w:rFonts w:hint="eastAsia" w:ascii="仿宋_GB2312" w:hAnsi="仿宋_GB2312" w:eastAsia="仿宋_GB2312" w:cs="仿宋_GB2312"/>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4.项目结果 （9分）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目标完成（6分）：该项指标得分=实际完成目标任务量÷首次批复立项设定绩效目标任务总量×100%×6=1÷1×100%×6=6分。（项目完成目标任务量分类较多，均达到要求，数据详见个性指标绩效分析，故以1为目标任务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完成时效（</w:t>
      </w:r>
      <w:r>
        <w:rPr>
          <w:rFonts w:hint="eastAsia" w:ascii="仿宋_GB2312" w:hAnsi="仿宋_GB2312" w:eastAsia="仿宋_GB2312" w:cs="仿宋_GB2312"/>
          <w:color w:val="auto"/>
          <w:sz w:val="32"/>
          <w:szCs w:val="32"/>
          <w:lang w:val="en-US" w:eastAsia="zh-CN"/>
        </w:rPr>
        <w:t>3分</w:t>
      </w:r>
      <w:r>
        <w:rPr>
          <w:rFonts w:hint="eastAsia" w:ascii="仿宋_GB2312" w:hAnsi="仿宋_GB2312" w:eastAsia="仿宋_GB2312" w:cs="仿宋_GB2312"/>
          <w:color w:val="auto"/>
          <w:sz w:val="32"/>
          <w:szCs w:val="32"/>
          <w:lang w:eastAsia="zh-CN"/>
        </w:rPr>
        <w:t>）：该项指标得分=（1-(</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）×100%×3</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指标以月数为单位。实际完成时间-计划完成时间等于0，得</w:t>
      </w:r>
      <w:r>
        <w:rPr>
          <w:rFonts w:hint="eastAsia" w:ascii="仿宋_GB2312" w:hAnsi="仿宋_GB2312" w:eastAsia="仿宋_GB2312" w:cs="仿宋_GB2312"/>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b/>
          <w:color w:val="auto"/>
          <w:sz w:val="32"/>
          <w:szCs w:val="32"/>
          <w:highlight w:val="none"/>
          <w:u w:val="none"/>
          <w:lang w:val="zh-CN"/>
        </w:rPr>
        <w:t>（二）</w:t>
      </w:r>
      <w:r>
        <w:rPr>
          <w:rFonts w:hint="eastAsia" w:ascii="楷体_GB2312" w:hAnsi="楷体_GB2312" w:eastAsia="楷体_GB2312" w:cs="楷体_GB2312"/>
          <w:b/>
          <w:color w:val="auto"/>
          <w:sz w:val="32"/>
          <w:szCs w:val="32"/>
          <w:highlight w:val="none"/>
          <w:u w:val="none"/>
          <w:lang w:val="en-US" w:eastAsia="zh-CN"/>
        </w:rPr>
        <w:t>专用指标</w:t>
      </w:r>
      <w:r>
        <w:rPr>
          <w:rFonts w:hint="eastAsia" w:ascii="楷体_GB2312" w:hAnsi="楷体_GB2312" w:eastAsia="楷体_GB2312" w:cs="楷体_GB2312"/>
          <w:b/>
          <w:bCs/>
          <w:color w:val="000000"/>
          <w:kern w:val="0"/>
          <w:sz w:val="32"/>
          <w:szCs w:val="32"/>
          <w:highlight w:val="none"/>
          <w:shd w:val="clear" w:color="auto" w:fill="FFFFFF"/>
          <w:lang w:val="zh-CN"/>
        </w:rPr>
        <w:t>绩效分析（</w:t>
      </w:r>
      <w:r>
        <w:rPr>
          <w:rFonts w:hint="eastAsia" w:ascii="楷体_GB2312" w:hAnsi="楷体_GB2312" w:eastAsia="楷体_GB2312" w:cs="楷体_GB2312"/>
          <w:b/>
          <w:bCs/>
          <w:color w:val="000000"/>
          <w:kern w:val="0"/>
          <w:sz w:val="32"/>
          <w:szCs w:val="32"/>
          <w:highlight w:val="none"/>
          <w:shd w:val="clear" w:color="auto" w:fill="FFFFFF"/>
          <w:lang w:val="en-US" w:eastAsia="zh-CN"/>
        </w:rPr>
        <w:t>30分</w:t>
      </w:r>
      <w:r>
        <w:rPr>
          <w:rFonts w:hint="eastAsia" w:ascii="楷体_GB2312" w:hAnsi="楷体_GB2312" w:eastAsia="楷体_GB2312" w:cs="楷体_GB2312"/>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区域均衡性（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）：该项目实施</w:t>
      </w:r>
      <w:r>
        <w:rPr>
          <w:rFonts w:hint="eastAsia" w:ascii="仿宋_GB2312" w:hAnsi="仿宋_GB2312" w:eastAsia="仿宋_GB2312" w:cs="仿宋_GB2312"/>
          <w:color w:val="auto"/>
          <w:sz w:val="32"/>
          <w:szCs w:val="32"/>
        </w:rPr>
        <w:t>提高</w:t>
      </w:r>
      <w:r>
        <w:rPr>
          <w:rFonts w:hint="eastAsia" w:ascii="仿宋_GB2312" w:hAnsi="仿宋_GB2312" w:eastAsia="仿宋_GB2312" w:cs="仿宋_GB2312"/>
          <w:color w:val="auto"/>
          <w:sz w:val="32"/>
          <w:szCs w:val="32"/>
          <w:lang w:eastAsia="zh-CN"/>
        </w:rPr>
        <w:t>传染病</w:t>
      </w:r>
      <w:r>
        <w:rPr>
          <w:rFonts w:hint="eastAsia" w:ascii="仿宋_GB2312" w:hAnsi="仿宋_GB2312" w:eastAsia="仿宋_GB2312" w:cs="仿宋_GB2312"/>
          <w:color w:val="auto"/>
          <w:sz w:val="32"/>
          <w:szCs w:val="32"/>
        </w:rPr>
        <w:t>监测数据报告及时性和准确性，提升分析研判能力水平，实现实时有效分析、集中会商研判和辅助应急决策指挥。促进医防协同，有序推进医疗机构与疾控机构间信息互联互通与共享</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对象精准性（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）：该项指标得分=（</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eastAsia="zh-CN"/>
        </w:rPr>
        <w:t>×100%×10</w:t>
      </w:r>
      <w:r>
        <w:rPr>
          <w:rFonts w:hint="eastAsia" w:ascii="仿宋_GB2312" w:hAnsi="仿宋_GB2312" w:eastAsia="仿宋_GB2312" w:cs="仿宋_GB2312"/>
          <w:color w:val="auto"/>
          <w:sz w:val="32"/>
          <w:szCs w:val="32"/>
          <w:lang w:val="en-US" w:eastAsia="zh-CN"/>
        </w:rPr>
        <w:t>=10分（目标要求：成立县级传染病应急处置小分队≥4人，实际成立县级传染病应急处置小分队8人；）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标准合理性（</w:t>
      </w:r>
      <w:r>
        <w:rPr>
          <w:rFonts w:hint="eastAsia" w:ascii="仿宋_GB2312" w:hAnsi="仿宋_GB2312" w:eastAsia="仿宋_GB2312" w:cs="仿宋_GB2312"/>
          <w:color w:val="auto"/>
          <w:sz w:val="32"/>
          <w:szCs w:val="32"/>
          <w:lang w:val="en-US" w:eastAsia="zh-CN"/>
        </w:rPr>
        <w:t>5分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资金实际使用标准符合资金管理办法规定的补助标准。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群众满意度（</w:t>
      </w:r>
      <w:r>
        <w:rPr>
          <w:rFonts w:hint="eastAsia" w:ascii="仿宋_GB2312" w:hAnsi="仿宋_GB2312" w:eastAsia="仿宋_GB2312" w:cs="仿宋_GB2312"/>
          <w:color w:val="auto"/>
          <w:sz w:val="32"/>
          <w:szCs w:val="32"/>
          <w:lang w:val="en-US" w:eastAsia="zh-CN"/>
        </w:rPr>
        <w:t>5分</w:t>
      </w:r>
      <w:r>
        <w:rPr>
          <w:rFonts w:hint="eastAsia" w:ascii="仿宋_GB2312" w:hAnsi="仿宋_GB2312" w:eastAsia="仿宋_GB2312" w:cs="仿宋_GB2312"/>
          <w:color w:val="auto"/>
          <w:sz w:val="32"/>
          <w:szCs w:val="32"/>
          <w:lang w:eastAsia="zh-CN"/>
        </w:rPr>
        <w:t>）：该项指标得分=</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×100%×5</w:t>
      </w:r>
      <w:r>
        <w:rPr>
          <w:rFonts w:hint="eastAsia" w:ascii="仿宋_GB2312" w:hAnsi="仿宋_GB2312" w:eastAsia="仿宋_GB2312" w:cs="仿宋_GB2312"/>
          <w:color w:val="auto"/>
          <w:sz w:val="32"/>
          <w:szCs w:val="32"/>
          <w:lang w:val="en-US" w:eastAsia="zh-CN"/>
        </w:rPr>
        <w:t>=5分。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b/>
          <w:bCs w:val="0"/>
          <w:color w:val="auto"/>
          <w:sz w:val="32"/>
          <w:szCs w:val="32"/>
          <w:lang w:val="en-US" w:eastAsia="zh-CN"/>
        </w:rPr>
      </w:pPr>
      <w:r>
        <w:rPr>
          <w:rFonts w:hint="eastAsia" w:ascii="楷体_GB2312" w:hAnsi="楷体_GB2312" w:eastAsia="楷体_GB2312" w:cs="楷体_GB2312"/>
          <w:b/>
          <w:bCs w:val="0"/>
          <w:color w:val="auto"/>
          <w:sz w:val="32"/>
          <w:szCs w:val="32"/>
          <w:highlight w:val="none"/>
          <w:u w:val="none"/>
          <w:lang w:val="en-US" w:eastAsia="zh-CN"/>
        </w:rPr>
        <w:t>个性指标</w:t>
      </w:r>
      <w:r>
        <w:rPr>
          <w:rFonts w:hint="eastAsia" w:ascii="楷体_GB2312" w:hAnsi="楷体_GB2312" w:eastAsia="楷体_GB2312" w:cs="楷体_GB2312"/>
          <w:b/>
          <w:bCs w:val="0"/>
          <w:color w:val="000000"/>
          <w:kern w:val="0"/>
          <w:sz w:val="32"/>
          <w:szCs w:val="32"/>
          <w:highlight w:val="none"/>
          <w:shd w:val="clear" w:color="auto" w:fill="FFFFFF"/>
          <w:lang w:val="zh-CN"/>
        </w:rPr>
        <w:t>绩效分析（</w:t>
      </w:r>
      <w:r>
        <w:rPr>
          <w:rFonts w:hint="eastAsia" w:ascii="楷体_GB2312" w:hAnsi="楷体_GB2312" w:eastAsia="楷体_GB2312" w:cs="楷体_GB2312"/>
          <w:b/>
          <w:bCs w:val="0"/>
          <w:color w:val="000000"/>
          <w:kern w:val="0"/>
          <w:sz w:val="32"/>
          <w:szCs w:val="32"/>
          <w:highlight w:val="none"/>
          <w:shd w:val="clear" w:color="auto" w:fill="FFFFFF"/>
          <w:lang w:val="en-US" w:eastAsia="zh-CN"/>
        </w:rPr>
        <w:t>16分</w:t>
      </w:r>
      <w:r>
        <w:rPr>
          <w:rFonts w:hint="eastAsia" w:ascii="楷体_GB2312" w:hAnsi="楷体_GB2312" w:eastAsia="楷体_GB2312" w:cs="楷体_GB2312"/>
          <w:b/>
          <w:bCs w:val="0"/>
          <w:color w:val="000000"/>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数量指标（16分）：县级传染病应急处置小分队≥4人，成立县级传染病应急处置小分队8人；统一队员服装、设备标识及队旗配置率≥100%，全年完成采购，装备配置率达100%。</w:t>
      </w:r>
    </w:p>
    <w:p>
      <w:pPr>
        <w:pStyle w:val="14"/>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质量指标：全年完成对技术的升级和业务保障能力的提升，视频会议图像和声音效果显著改善，中国疾病预防控制信息系统数据传输安全性显著提升。</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社会效益指标：升级传染病疫情报告网络安全防护条件，中国疾病预防控制信息系统终端设备安全防护条件逐步增强，视频会议实现与州省国家互联互通。</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时效指标：资金在规定时间内支付完成率≥95%，全年资金支付率达98.42%。</w:t>
      </w:r>
    </w:p>
    <w:p>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成本指标：</w:t>
      </w:r>
      <w:r>
        <w:rPr>
          <w:rStyle w:val="18"/>
          <w:rFonts w:hint="eastAsia" w:ascii="仿宋_GB2312" w:hAnsi="仿宋_GB2312" w:eastAsia="仿宋_GB2312" w:cs="仿宋_GB2312"/>
          <w:color w:val="auto"/>
          <w:sz w:val="32"/>
          <w:szCs w:val="32"/>
        </w:rPr>
        <w:t>所有成本均在各项制度及标准范围内，严格控制了项目成本，确保资金使用效益最大化。</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该项专项预算项目绩效自评总体结论优异，自评得分98.97分，项目实施范围符合州级要求，并按照完成了项目资金拨付，资金使用率达98.42%。</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pPr>
        <w:pStyle w:val="5"/>
        <w:keepNext w:val="0"/>
        <w:keepLines w:val="0"/>
        <w:pageBreakBefore w:val="0"/>
        <w:numPr>
          <w:ilvl w:val="0"/>
          <w:numId w:val="4"/>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改进建议</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lang w:val="zh-CN" w:eastAsia="zh-CN"/>
        </w:rPr>
      </w:pPr>
      <w:r>
        <w:rPr>
          <w:rFonts w:hint="eastAsia" w:ascii="仿宋_GB2312" w:hAnsi="仿宋_GB2312" w:eastAsia="仿宋_GB2312" w:cs="仿宋_GB2312"/>
          <w:sz w:val="32"/>
          <w:szCs w:val="32"/>
          <w:lang w:val="en-US" w:eastAsia="zh-CN"/>
        </w:rPr>
        <w:t>无</w:t>
      </w:r>
    </w:p>
    <w:p>
      <w:pPr>
        <w:pStyle w:val="2"/>
        <w:rPr>
          <w:rFonts w:hint="eastAsia"/>
          <w:lang w:val="en-US" w:eastAsia="zh-CN"/>
        </w:rPr>
      </w:pPr>
    </w:p>
    <w:p>
      <w:pPr>
        <w:rPr>
          <w:rFonts w:hint="eastAsia"/>
          <w:lang w:val="en-US" w:eastAsia="zh-CN"/>
        </w:rPr>
      </w:pPr>
    </w:p>
    <w:p>
      <w:pPr>
        <w:pStyle w:val="2"/>
        <w:rPr>
          <w:rFonts w:hint="eastAsia"/>
          <w:lang w:val="en-US" w:eastAsia="zh-CN"/>
        </w:rPr>
      </w:pP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val="0"/>
        <w:spacing w:line="560" w:lineRule="exact"/>
        <w:ind w:left="0" w:leftChars="0" w:firstLine="1050" w:firstLineChars="5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eastAsia" w:ascii="方正仿宋_GBK" w:hAnsi="方正仿宋_GBK" w:eastAsia="方正仿宋_GBK" w:cs="方正仿宋_GBK"/>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黑水县疾病预防控制中心</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w:t>
      </w:r>
      <w:r>
        <w:rPr>
          <w:rFonts w:hint="eastAsia" w:ascii="仿宋_GB2312" w:hAnsi="仿宋" w:eastAsia="仿宋_GB2312" w:cs="仿宋"/>
        </w:rPr>
        <w:drawing>
          <wp:anchor distT="0" distB="0" distL="114935" distR="114935" simplePos="0" relativeHeight="251660288" behindDoc="1" locked="0" layoutInCell="1" allowOverlap="1">
            <wp:simplePos x="0" y="0"/>
            <wp:positionH relativeFrom="column">
              <wp:posOffset>3784600</wp:posOffset>
            </wp:positionH>
            <wp:positionV relativeFrom="paragraph">
              <wp:posOffset>-736600</wp:posOffset>
            </wp:positionV>
            <wp:extent cx="1487805" cy="1458595"/>
            <wp:effectExtent l="202565" t="196850" r="205740" b="201295"/>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6"/>
                    <a:stretch>
                      <a:fillRect/>
                    </a:stretch>
                  </pic:blipFill>
                  <pic:spPr>
                    <a:xfrm rot="17340000">
                      <a:off x="0" y="0"/>
                      <a:ext cx="1487805" cy="1458595"/>
                    </a:xfrm>
                    <a:prstGeom prst="rect">
                      <a:avLst/>
                    </a:prstGeom>
                  </pic:spPr>
                </pic:pic>
              </a:graphicData>
            </a:graphic>
          </wp:anchor>
        </w:drawing>
      </w:r>
      <w:r>
        <w:rPr>
          <w:rFonts w:hint="eastAsia" w:ascii="仿宋_GB2312" w:hAnsi="仿宋_GB2312" w:eastAsia="仿宋_GB2312" w:cs="仿宋_GB2312"/>
          <w:sz w:val="32"/>
          <w:szCs w:val="32"/>
          <w:lang w:val="en-US" w:eastAsia="zh-CN"/>
        </w:rPr>
        <w:t>5月20日</w:t>
      </w:r>
    </w:p>
    <w:p>
      <w:pPr>
        <w:bidi w:val="0"/>
        <w:rPr>
          <w:rFonts w:hint="default" w:ascii="Times New Roman" w:hAnsi="Times New Roman" w:eastAsia="宋体" w:cs="Times New Roman"/>
          <w:kern w:val="2"/>
          <w:sz w:val="21"/>
          <w:szCs w:val="24"/>
          <w:lang w:val="zh-CN" w:eastAsia="zh-CN" w:bidi="ar-SA"/>
        </w:rPr>
      </w:pPr>
    </w:p>
    <w:p>
      <w:pPr>
        <w:pStyle w:val="2"/>
        <w:rPr>
          <w:rFonts w:hint="default" w:ascii="Times New Roman" w:hAnsi="Times New Roman" w:eastAsia="宋体" w:cs="Times New Roman"/>
          <w:kern w:val="2"/>
          <w:sz w:val="21"/>
          <w:szCs w:val="24"/>
          <w:lang w:val="zh-CN" w:eastAsia="zh-CN" w:bidi="ar-SA"/>
        </w:rPr>
      </w:pPr>
    </w:p>
    <w:p>
      <w:pPr>
        <w:rPr>
          <w:rFonts w:hint="default" w:ascii="Times New Roman" w:hAnsi="Times New Roman" w:eastAsia="宋体" w:cs="Times New Roman"/>
          <w:kern w:val="2"/>
          <w:sz w:val="21"/>
          <w:szCs w:val="24"/>
          <w:lang w:val="zh-CN" w:eastAsia="zh-CN" w:bidi="ar-SA"/>
        </w:rPr>
      </w:pPr>
    </w:p>
    <w:p>
      <w:pPr>
        <w:rPr>
          <w:rFonts w:hint="default"/>
          <w:lang w:val="zh-CN" w:eastAsia="zh-CN"/>
        </w:rPr>
      </w:pPr>
    </w:p>
    <w:p>
      <w:pPr>
        <w:pStyle w:val="2"/>
        <w:rPr>
          <w:rFonts w:hint="default"/>
          <w:lang w:val="zh-CN" w:eastAsia="zh-CN"/>
        </w:rPr>
      </w:pPr>
    </w:p>
    <w:p>
      <w:pPr>
        <w:pStyle w:val="7"/>
        <w:keepNext w:val="0"/>
        <w:keepLines w:val="0"/>
        <w:pageBreakBefore w:val="0"/>
        <w:pBdr>
          <w:top w:val="single" w:color="auto" w:sz="4" w:space="1"/>
          <w:bottom w:val="single" w:color="auto" w:sz="4" w:space="1"/>
          <w:between w:val="single" w:color="auto" w:sz="4" w:space="1"/>
        </w:pBdr>
        <w:kinsoku/>
        <w:wordWrap/>
        <w:overflowPunct/>
        <w:topLinePunct w:val="0"/>
        <w:bidi w:val="0"/>
        <w:snapToGrid/>
        <w:spacing w:line="560" w:lineRule="exact"/>
        <w:ind w:firstLine="140" w:firstLineChars="50"/>
        <w:jc w:val="left"/>
        <w:rPr>
          <w:rFonts w:hint="eastAsia" w:ascii="仿宋_GB2312" w:hAnsi="仿宋_GB2312" w:eastAsia="仿宋_GB2312" w:cs="仿宋_GB2312"/>
          <w:sz w:val="32"/>
          <w:szCs w:val="32"/>
          <w:lang w:val="en-US" w:eastAsia="zh-CN"/>
        </w:rPr>
      </w:pPr>
      <w:r>
        <w:rPr>
          <w:rFonts w:hint="eastAsia" w:ascii="仿宋_GB2312" w:eastAsia="仿宋_GB2312"/>
          <w:sz w:val="28"/>
          <w:szCs w:val="28"/>
          <w:lang w:val="en-US" w:eastAsia="zh-CN"/>
        </w:rPr>
        <w:t>黑水县</w:t>
      </w:r>
      <w:r>
        <w:rPr>
          <w:rFonts w:hint="eastAsia" w:ascii="仿宋_GB2312" w:eastAsia="仿宋_GB2312"/>
          <w:sz w:val="28"/>
          <w:szCs w:val="28"/>
        </w:rPr>
        <w:t xml:space="preserve">疾病预防控制中心           </w:t>
      </w:r>
      <w:r>
        <w:rPr>
          <w:rFonts w:hint="eastAsia" w:ascii="仿宋_GB2312" w:eastAsia="仿宋_GB2312"/>
          <w:sz w:val="28"/>
          <w:szCs w:val="28"/>
          <w:lang w:val="en-US" w:eastAsia="zh-CN"/>
        </w:rPr>
        <w:t xml:space="preserve">          </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r>
        <w:rPr>
          <w:rFonts w:hint="eastAsia" w:ascii="仿宋_GB2312" w:eastAsia="仿宋_GB2312"/>
          <w:sz w:val="28"/>
          <w:szCs w:val="28"/>
          <w:lang w:val="en-US" w:eastAsia="zh-CN"/>
        </w:rPr>
        <w:t>20</w:t>
      </w:r>
      <w:r>
        <w:rPr>
          <w:rFonts w:hint="eastAsia" w:ascii="仿宋_GB2312" w:eastAsia="仿宋_GB2312"/>
          <w:sz w:val="28"/>
          <w:szCs w:val="28"/>
        </w:rPr>
        <w:t>日印</w:t>
      </w:r>
    </w:p>
    <w:p>
      <w:pPr>
        <w:rPr>
          <w:rFonts w:hint="eastAsia"/>
          <w:lang w:val="en-US" w:eastAsia="zh-CN"/>
        </w:rPr>
      </w:pPr>
    </w:p>
    <w:sectPr>
      <w:footerReference r:id="rId3" w:type="even"/>
      <w:pgSz w:w="11907" w:h="17010"/>
      <w:pgMar w:top="2098" w:right="1474" w:bottom="1985" w:left="1588" w:header="851" w:footer="153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新宋体">
    <w:altName w:val="方正书宋_GBK"/>
    <w:panose1 w:val="02010609030101010101"/>
    <w:charset w:val="86"/>
    <w:family w:val="modern"/>
    <w:pitch w:val="default"/>
    <w:sig w:usb0="00000000" w:usb1="00000000" w:usb2="0000000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315" w:leftChars="150" w:right="315" w:rightChars="150"/>
      <w:jc w:val="both"/>
      <w:rPr>
        <w:rFonts w:ascii="宋体" w:hAnsi="宋体"/>
        <w:sz w:val="30"/>
        <w:szCs w:val="30"/>
      </w:rPr>
    </w:pPr>
    <w:r>
      <w:rPr>
        <w:rFonts w:hint="eastAsia" w:ascii="宋体" w:hAnsi="宋体"/>
        <w:sz w:val="30"/>
        <w:szCs w:val="30"/>
      </w:rPr>
      <w:t xml:space="preserve">― </w:t>
    </w:r>
    <w:r>
      <w:rPr>
        <w:rFonts w:hint="eastAsia" w:ascii="宋体" w:hAnsi="宋体"/>
        <w:sz w:val="30"/>
        <w:szCs w:val="30"/>
      </w:rPr>
      <w:fldChar w:fldCharType="begin"/>
    </w:r>
    <w:r>
      <w:rPr>
        <w:rFonts w:hint="eastAsia" w:ascii="宋体" w:hAnsi="宋体"/>
        <w:sz w:val="30"/>
        <w:szCs w:val="30"/>
      </w:rPr>
      <w:instrText xml:space="preserve"> PAGE </w:instrText>
    </w:r>
    <w:r>
      <w:rPr>
        <w:rFonts w:hint="eastAsia" w:ascii="宋体" w:hAnsi="宋体"/>
        <w:sz w:val="30"/>
        <w:szCs w:val="30"/>
      </w:rPr>
      <w:fldChar w:fldCharType="separate"/>
    </w:r>
    <w:r>
      <w:rPr>
        <w:rFonts w:ascii="宋体" w:hAnsi="宋体"/>
        <w:sz w:val="30"/>
        <w:szCs w:val="30"/>
      </w:rPr>
      <w:t>2</w:t>
    </w:r>
    <w:r>
      <w:rPr>
        <w:rFonts w:hint="eastAsia" w:ascii="宋体" w:hAnsi="宋体"/>
        <w:sz w:val="30"/>
        <w:szCs w:val="30"/>
      </w:rPr>
      <w:fldChar w:fldCharType="end"/>
    </w:r>
    <w:r>
      <w:rPr>
        <w:rFonts w:hint="eastAsia" w:ascii="宋体" w:hAnsi="宋体"/>
        <w:sz w:val="30"/>
        <w:szCs w:val="30"/>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DC8C4466"/>
    <w:multiLevelType w:val="singleLevel"/>
    <w:tmpl w:val="DC8C4466"/>
    <w:lvl w:ilvl="0" w:tentative="0">
      <w:start w:val="6"/>
      <w:numFmt w:val="chineseCounting"/>
      <w:suff w:val="nothing"/>
      <w:lvlText w:val="%1、"/>
      <w:lvlJc w:val="left"/>
      <w:rPr>
        <w:rFonts w:hint="eastAsia"/>
      </w:rPr>
    </w:lvl>
  </w:abstractNum>
  <w:abstractNum w:abstractNumId="2">
    <w:nsid w:val="E6857523"/>
    <w:multiLevelType w:val="singleLevel"/>
    <w:tmpl w:val="E6857523"/>
    <w:lvl w:ilvl="0" w:tentative="0">
      <w:start w:val="2"/>
      <w:numFmt w:val="chineseCounting"/>
      <w:suff w:val="nothing"/>
      <w:lvlText w:val="（%1）"/>
      <w:lvlJc w:val="left"/>
      <w:rPr>
        <w:rFonts w:hint="eastAsia"/>
      </w:rPr>
    </w:lvl>
  </w:abstractNum>
  <w:abstractNum w:abstractNumId="3">
    <w:nsid w:val="ECB34FCB"/>
    <w:multiLevelType w:val="singleLevel"/>
    <w:tmpl w:val="ECB34FCB"/>
    <w:lvl w:ilvl="0" w:tentative="0">
      <w:start w:val="3"/>
      <w:numFmt w:val="chineseCounting"/>
      <w:suff w:val="nothing"/>
      <w:lvlText w:val="（%1）"/>
      <w:lvlJc w:val="left"/>
      <w:pPr>
        <w:ind w:left="-10"/>
      </w:pPr>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attachedTemplate r:id="rId1"/>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3ZjRlNDcxMGM3ZTIwNjk2NTllYjNmMWUxZDQzYzIifQ=="/>
  </w:docVars>
  <w:rsids>
    <w:rsidRoot w:val="003E28AB"/>
    <w:rsid w:val="000313C5"/>
    <w:rsid w:val="0005691A"/>
    <w:rsid w:val="00060809"/>
    <w:rsid w:val="0008343D"/>
    <w:rsid w:val="000D2889"/>
    <w:rsid w:val="00121037"/>
    <w:rsid w:val="00130C2E"/>
    <w:rsid w:val="00132A4B"/>
    <w:rsid w:val="00134692"/>
    <w:rsid w:val="0019433E"/>
    <w:rsid w:val="001E3CA4"/>
    <w:rsid w:val="001E532D"/>
    <w:rsid w:val="002107D3"/>
    <w:rsid w:val="00263D4F"/>
    <w:rsid w:val="00267874"/>
    <w:rsid w:val="00276BF6"/>
    <w:rsid w:val="002A67C1"/>
    <w:rsid w:val="002B6B2C"/>
    <w:rsid w:val="002D2AEA"/>
    <w:rsid w:val="002E2950"/>
    <w:rsid w:val="00324ED7"/>
    <w:rsid w:val="00327512"/>
    <w:rsid w:val="00330B1D"/>
    <w:rsid w:val="00372878"/>
    <w:rsid w:val="003A255E"/>
    <w:rsid w:val="003B5246"/>
    <w:rsid w:val="003C4F6C"/>
    <w:rsid w:val="003C55B1"/>
    <w:rsid w:val="003D1848"/>
    <w:rsid w:val="003E28AB"/>
    <w:rsid w:val="003E59EA"/>
    <w:rsid w:val="004B3ED2"/>
    <w:rsid w:val="004C662B"/>
    <w:rsid w:val="00546FE8"/>
    <w:rsid w:val="0056277D"/>
    <w:rsid w:val="005705D6"/>
    <w:rsid w:val="0057571B"/>
    <w:rsid w:val="0059163B"/>
    <w:rsid w:val="005E16A6"/>
    <w:rsid w:val="00611264"/>
    <w:rsid w:val="006350DC"/>
    <w:rsid w:val="006617D0"/>
    <w:rsid w:val="006645A1"/>
    <w:rsid w:val="006B63E9"/>
    <w:rsid w:val="007238A1"/>
    <w:rsid w:val="007356DF"/>
    <w:rsid w:val="00742B93"/>
    <w:rsid w:val="00744A60"/>
    <w:rsid w:val="007C6C64"/>
    <w:rsid w:val="007D121D"/>
    <w:rsid w:val="007D4A33"/>
    <w:rsid w:val="007D4FF4"/>
    <w:rsid w:val="00822DFA"/>
    <w:rsid w:val="00845A67"/>
    <w:rsid w:val="00855491"/>
    <w:rsid w:val="008576FE"/>
    <w:rsid w:val="00863EFA"/>
    <w:rsid w:val="008839AF"/>
    <w:rsid w:val="00894AEA"/>
    <w:rsid w:val="008958EB"/>
    <w:rsid w:val="008A69DA"/>
    <w:rsid w:val="008E0B1E"/>
    <w:rsid w:val="008F4501"/>
    <w:rsid w:val="009146B1"/>
    <w:rsid w:val="00941FB6"/>
    <w:rsid w:val="00946217"/>
    <w:rsid w:val="009803E7"/>
    <w:rsid w:val="009A6C3C"/>
    <w:rsid w:val="009C2CB5"/>
    <w:rsid w:val="00A74311"/>
    <w:rsid w:val="00AB00B5"/>
    <w:rsid w:val="00AB69DB"/>
    <w:rsid w:val="00AD6146"/>
    <w:rsid w:val="00AE17C3"/>
    <w:rsid w:val="00AF2240"/>
    <w:rsid w:val="00B02D2B"/>
    <w:rsid w:val="00B647C3"/>
    <w:rsid w:val="00B87748"/>
    <w:rsid w:val="00BC5A72"/>
    <w:rsid w:val="00C65602"/>
    <w:rsid w:val="00C738DA"/>
    <w:rsid w:val="00CA48E6"/>
    <w:rsid w:val="00CC05BD"/>
    <w:rsid w:val="00D0743E"/>
    <w:rsid w:val="00D508B9"/>
    <w:rsid w:val="00DF4911"/>
    <w:rsid w:val="00E17DD5"/>
    <w:rsid w:val="00E30327"/>
    <w:rsid w:val="00E60171"/>
    <w:rsid w:val="00E64F86"/>
    <w:rsid w:val="00E83D19"/>
    <w:rsid w:val="00EA4C38"/>
    <w:rsid w:val="00EB1343"/>
    <w:rsid w:val="00EB7997"/>
    <w:rsid w:val="00F13FC9"/>
    <w:rsid w:val="00F449E2"/>
    <w:rsid w:val="00F7138E"/>
    <w:rsid w:val="00FB05B4"/>
    <w:rsid w:val="00FF0EED"/>
    <w:rsid w:val="05524952"/>
    <w:rsid w:val="06E445EA"/>
    <w:rsid w:val="07A735CC"/>
    <w:rsid w:val="0BA614B9"/>
    <w:rsid w:val="14F13869"/>
    <w:rsid w:val="1BB9554D"/>
    <w:rsid w:val="204B6033"/>
    <w:rsid w:val="236B0C61"/>
    <w:rsid w:val="25B03DE2"/>
    <w:rsid w:val="295A7167"/>
    <w:rsid w:val="318C4BC4"/>
    <w:rsid w:val="33664FA1"/>
    <w:rsid w:val="421C5595"/>
    <w:rsid w:val="45015701"/>
    <w:rsid w:val="47DB040C"/>
    <w:rsid w:val="495B3342"/>
    <w:rsid w:val="4AD22143"/>
    <w:rsid w:val="4F2D1A89"/>
    <w:rsid w:val="53B62910"/>
    <w:rsid w:val="55BA5C3A"/>
    <w:rsid w:val="5835551B"/>
    <w:rsid w:val="6AC00E5F"/>
    <w:rsid w:val="733E7A2E"/>
    <w:rsid w:val="74367B7D"/>
    <w:rsid w:val="754077FF"/>
    <w:rsid w:val="7AB27FC7"/>
    <w:rsid w:val="7EF482F6"/>
    <w:rsid w:val="CF53C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4"/>
    <w:basedOn w:val="1"/>
    <w:next w:val="1"/>
    <w:unhideWhenUsed/>
    <w:qFormat/>
    <w:uiPriority w:val="9"/>
    <w:pPr>
      <w:keepNext/>
      <w:keepLines/>
      <w:jc w:val="left"/>
      <w:outlineLvl w:val="3"/>
    </w:pPr>
    <w:rPr>
      <w:rFonts w:asciiTheme="majorHAnsi" w:hAnsiTheme="majorHAnsi" w:cstheme="majorBidi"/>
      <w:bCs/>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qFormat/>
    <w:uiPriority w:val="0"/>
    <w:pPr>
      <w:ind w:firstLine="4680" w:firstLineChars="1300"/>
    </w:pPr>
    <w:rPr>
      <w:rFonts w:eastAsia="仿宋_GB2312"/>
      <w:b/>
      <w:bCs/>
      <w:sz w:val="36"/>
    </w:rPr>
  </w:style>
  <w:style w:type="paragraph" w:styleId="7">
    <w:name w:val="Plain Text"/>
    <w:basedOn w:val="1"/>
    <w:qFormat/>
    <w:uiPriority w:val="0"/>
    <w:pPr>
      <w:widowControl w:val="0"/>
      <w:jc w:val="both"/>
    </w:pPr>
    <w:rPr>
      <w:rFonts w:hAnsi="Courier New" w:cs="Courier New"/>
      <w:kern w:val="2"/>
      <w:sz w:val="21"/>
      <w:szCs w:val="21"/>
    </w:rPr>
  </w:style>
  <w:style w:type="paragraph" w:styleId="8">
    <w:name w:val="Date"/>
    <w:basedOn w:val="1"/>
    <w:next w:val="1"/>
    <w:qFormat/>
    <w:uiPriority w:val="0"/>
  </w:style>
  <w:style w:type="paragraph" w:styleId="9">
    <w:name w:val="Body Text Indent 2"/>
    <w:basedOn w:val="1"/>
    <w:qFormat/>
    <w:uiPriority w:val="0"/>
    <w:pPr>
      <w:spacing w:before="240"/>
      <w:ind w:firstLine="720" w:firstLineChars="225"/>
    </w:pPr>
    <w:rPr>
      <w:rFonts w:ascii="仿宋_GB2312" w:eastAsia="仿宋_GB2312"/>
      <w:sz w:val="32"/>
      <w:szCs w:val="32"/>
    </w:rPr>
  </w:style>
  <w:style w:type="paragraph" w:styleId="10">
    <w:name w:val="Balloon Text"/>
    <w:basedOn w:val="1"/>
    <w:link w:val="21"/>
    <w:semiHidden/>
    <w:unhideWhenUsed/>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640" w:firstLineChars="200"/>
    </w:pPr>
    <w:rPr>
      <w:rFonts w:ascii="仿宋_GB2312" w:eastAsia="仿宋_GB2312"/>
      <w:sz w:val="32"/>
    </w:rPr>
  </w:style>
  <w:style w:type="paragraph" w:styleId="14">
    <w:name w:val="table of figures"/>
    <w:basedOn w:val="1"/>
    <w:next w:val="1"/>
    <w:unhideWhenUsed/>
    <w:qFormat/>
    <w:uiPriority w:val="99"/>
    <w:pPr>
      <w:ind w:left="200" w:leftChars="200" w:hanging="200" w:hangingChars="200"/>
    </w:pPr>
  </w:style>
  <w:style w:type="paragraph" w:styleId="15">
    <w:name w:val="Body Text First Indent 2"/>
    <w:basedOn w:val="6"/>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basedOn w:val="18"/>
    <w:qFormat/>
    <w:uiPriority w:val="0"/>
    <w:rPr>
      <w:color w:val="0000FF"/>
      <w:u w:val="single"/>
    </w:rPr>
  </w:style>
  <w:style w:type="character" w:customStyle="1" w:styleId="21">
    <w:name w:val="批注框文本 Char"/>
    <w:basedOn w:val="18"/>
    <w:link w:val="10"/>
    <w:semiHidden/>
    <w:qFormat/>
    <w:uiPriority w:val="0"/>
    <w:rPr>
      <w:kern w:val="2"/>
      <w:sz w:val="18"/>
      <w:szCs w:val="18"/>
    </w:rPr>
  </w:style>
  <w:style w:type="paragraph" w:customStyle="1" w:styleId="22">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lenovo\Desktop\&#26032;&#24314;&#25991;&#20214;&#22841;%20(3)\2024&#24180;&#24029;&#30142;&#21457;&#65288;&#24179;&#34892;&#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2024年川疾发（平行）.dot</Template>
  <Pages>8</Pages>
  <Words>4909</Words>
  <Characters>5228</Characters>
  <Lines>46</Lines>
  <Paragraphs>13</Paragraphs>
  <TotalTime>7</TotalTime>
  <ScaleCrop>false</ScaleCrop>
  <LinksUpToDate>false</LinksUpToDate>
  <CharactersWithSpaces>5329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2024-03-28T18:01:00Z</dcterms:created>
  <dc:creator>梁传惠</dc:creator>
  <cp:lastModifiedBy>user</cp:lastModifiedBy>
  <cp:lastPrinted>2024-12-27T19:39:00Z</cp:lastPrinted>
  <dcterms:modified xsi:type="dcterms:W3CDTF">2025-11-13T10:14:31Z</dcterms:modified>
  <dc:title>关于建立西南疾病预防控制培训基地的报告</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230711BF4D844E8D9FBD8133E7CD9AF2_13</vt:lpwstr>
  </property>
  <property fmtid="{D5CDD505-2E9C-101B-9397-08002B2CF9AE}" pid="4" name="KSOTemplateDocerSaveRecord">
    <vt:lpwstr>eyJoZGlkIjoiNGZkZDlkNjg5NWVkNWU2ZDNmZGZjYjczNjZmMTIwMmYiLCJ1c2VySWQiOiIzMjY5NjEzMjEifQ==</vt:lpwstr>
  </property>
</Properties>
</file>