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-66675</wp:posOffset>
            </wp:positionH>
            <wp:positionV relativeFrom="paragraph">
              <wp:posOffset>431165</wp:posOffset>
            </wp:positionV>
            <wp:extent cx="5604510" cy="2792730"/>
            <wp:effectExtent l="0" t="0" r="15240" b="7620"/>
            <wp:wrapNone/>
            <wp:docPr id="1" name="图片 2" descr="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红头"/>
                    <pic:cNvPicPr>
                      <a:picLocks noChangeAspect="1"/>
                    </pic:cNvPicPr>
                  </pic:nvPicPr>
                  <pic:blipFill>
                    <a:blip r:embed="rId5"/>
                    <a:stretch>
                      <a:fillRect/>
                    </a:stretch>
                  </pic:blipFill>
                  <pic:spPr>
                    <a:xfrm>
                      <a:off x="0" y="0"/>
                      <a:ext cx="5604510" cy="2792730"/>
                    </a:xfrm>
                    <a:prstGeom prst="rect">
                      <a:avLst/>
                    </a:prstGeom>
                    <a:noFill/>
                    <a:ln>
                      <a:noFill/>
                    </a:ln>
                  </pic:spPr>
                </pic:pic>
              </a:graphicData>
            </a:graphic>
          </wp:anchor>
        </w:drawing>
      </w:r>
    </w:p>
    <w:p>
      <w:pPr>
        <w:spacing w:before="240" w:line="560" w:lineRule="exact"/>
        <w:rPr>
          <w:rFonts w:hint="eastAsia" w:ascii="仿宋_GB2312" w:hAnsi="仿宋_GB2312" w:eastAsia="仿宋_GB2312" w:cs="仿宋_GB2312"/>
          <w:sz w:val="32"/>
          <w:szCs w:val="32"/>
        </w:rPr>
      </w:pPr>
    </w:p>
    <w:p>
      <w:pPr>
        <w:spacing w:before="240" w:line="560" w:lineRule="exact"/>
        <w:rPr>
          <w:rFonts w:hint="eastAsia" w:ascii="仿宋_GB2312" w:hAnsi="仿宋_GB2312" w:eastAsia="仿宋_GB2312" w:cs="仿宋_GB2312"/>
          <w:sz w:val="32"/>
          <w:szCs w:val="32"/>
        </w:rPr>
      </w:pPr>
    </w:p>
    <w:p>
      <w:pPr>
        <w:spacing w:before="240" w:line="240" w:lineRule="auto"/>
        <w:rPr>
          <w:rFonts w:hint="eastAsia" w:ascii="仿宋_GB2312" w:hAnsi="仿宋_GB2312" w:eastAsia="仿宋_GB2312" w:cs="仿宋_GB2312"/>
          <w:sz w:val="32"/>
          <w:szCs w:val="32"/>
          <w:lang w:eastAsia="zh-CN"/>
        </w:rPr>
      </w:pPr>
    </w:p>
    <w:p>
      <w:pPr>
        <w:spacing w:before="240" w:line="560" w:lineRule="exact"/>
        <w:rPr>
          <w:rFonts w:hint="eastAsia" w:ascii="仿宋_GB2312" w:hAnsi="仿宋_GB2312" w:eastAsia="仿宋_GB2312" w:cs="仿宋_GB2312"/>
          <w:sz w:val="32"/>
          <w:szCs w:val="32"/>
        </w:rPr>
      </w:pPr>
    </w:p>
    <w:p>
      <w:pPr>
        <w:spacing w:before="240" w:line="560" w:lineRule="exact"/>
        <w:ind w:firstLine="2880" w:firstLineChars="900"/>
        <w:jc w:val="both"/>
        <w:rPr>
          <w:rFonts w:hint="default" w:ascii="新宋体" w:hAnsi="新宋体" w:eastAsia="仿宋_GB2312"/>
          <w:b/>
          <w:szCs w:val="21"/>
          <w:lang w:val="en-US" w:eastAsia="zh-CN"/>
        </w:rPr>
      </w:pPr>
      <w:r>
        <w:rPr>
          <w:rFonts w:hint="eastAsia" w:ascii="仿宋_GB2312" w:hAnsi="仿宋_GB2312" w:eastAsia="仿宋_GB2312" w:cs="仿宋_GB2312"/>
          <w:sz w:val="32"/>
          <w:szCs w:val="32"/>
        </w:rPr>
        <w:t>黑疾控</w:t>
      </w:r>
      <w:r>
        <w:rPr>
          <w:rFonts w:hint="eastAsia" w:ascii="仿宋_GB2312" w:hAnsi="华文中宋" w:eastAsia="仿宋_GB2312"/>
          <w:sz w:val="32"/>
        </w:rPr>
        <w:t>〔</w:t>
      </w:r>
      <w:r>
        <w:rPr>
          <w:rFonts w:hint="eastAsia" w:ascii="仿宋_GB2312" w:hAnsi="华文中宋" w:eastAsia="仿宋_GB2312"/>
          <w:sz w:val="32"/>
          <w:lang w:val="en-US" w:eastAsia="zh-CN"/>
        </w:rPr>
        <w:t>2025</w:t>
      </w:r>
      <w:r>
        <w:rPr>
          <w:rFonts w:ascii="仿宋_GB2312" w:hAnsi="华文中宋" w:eastAsia="仿宋_GB2312"/>
          <w:sz w:val="32"/>
        </w:rPr>
        <w:t>〕</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黑水县疾病预防控制中心严重精神</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障碍患者监护人"以奖代补"州、县补助专项预算项目绩效评价报告</w:t>
      </w:r>
    </w:p>
    <w:p>
      <w:pPr>
        <w:pStyle w:val="22"/>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ordWrap/>
        <w:overflowPunct/>
        <w:topLinePunct w:val="0"/>
        <w:bidi w:val="0"/>
        <w:spacing w:line="560" w:lineRule="exact"/>
        <w:ind w:firstLine="640" w:firstLineChars="200"/>
        <w:rPr>
          <w:rFonts w:hint="eastAsia" w:ascii="黑体" w:hAnsi="黑体" w:eastAsia="黑体" w:cs="黑体"/>
          <w:sz w:val="32"/>
          <w:szCs w:val="32"/>
          <w:lang w:val="zh-CN"/>
        </w:rPr>
      </w:pPr>
      <w:r>
        <w:rPr>
          <w:rFonts w:hint="eastAsia" w:ascii="黑体" w:hAnsi="黑体" w:eastAsia="黑体" w:cs="黑体"/>
          <w:sz w:val="32"/>
          <w:szCs w:val="32"/>
        </w:rPr>
        <w:t>一、</w:t>
      </w:r>
      <w:r>
        <w:rPr>
          <w:rFonts w:hint="eastAsia" w:ascii="黑体" w:hAnsi="黑体" w:eastAsia="黑体" w:cs="黑体"/>
          <w:sz w:val="32"/>
          <w:szCs w:val="32"/>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rPr>
      </w:pPr>
      <w:r>
        <w:rPr>
          <w:rFonts w:hint="eastAsia" w:ascii="Times New Roman" w:hAnsi="Times New Roman" w:eastAsia="楷体_GB2312" w:cs="Times New Roman"/>
          <w:b/>
          <w:color w:val="auto"/>
          <w:sz w:val="32"/>
          <w:szCs w:val="32"/>
          <w:highlight w:val="none"/>
          <w:u w:val="none"/>
          <w:lang w:val="zh-CN"/>
        </w:rPr>
        <w:t>（一）设立背景及基本情况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en-US"/>
        </w:rPr>
      </w:pPr>
      <w:r>
        <w:rPr>
          <w:rFonts w:hint="eastAsia" w:ascii="仿宋_GB2312" w:hAnsi="仿宋_GB2312" w:eastAsia="仿宋_GB2312" w:cs="仿宋_GB2312"/>
          <w:sz w:val="32"/>
          <w:szCs w:val="32"/>
          <w:lang w:val="en-US" w:eastAsia="zh-CN"/>
        </w:rPr>
        <w:t>根据《省综治办、省公安厅、省民政厅、省财政厅、省卫</w:t>
      </w:r>
      <w:r>
        <w:rPr>
          <w:rFonts w:hint="default" w:ascii="仿宋_GB2312" w:hAnsi="仿宋_GB2312" w:eastAsia="仿宋_GB2312" w:cs="仿宋_GB2312"/>
          <w:sz w:val="32"/>
          <w:szCs w:val="32"/>
          <w:lang w:eastAsia="zh-CN"/>
        </w:rPr>
        <w:t>生健康</w:t>
      </w:r>
      <w:r>
        <w:rPr>
          <w:rFonts w:hint="eastAsia" w:ascii="仿宋_GB2312" w:hAnsi="仿宋_GB2312" w:eastAsia="仿宋_GB2312" w:cs="仿宋_GB2312"/>
          <w:sz w:val="32"/>
          <w:szCs w:val="32"/>
          <w:lang w:val="en-US" w:eastAsia="zh-CN"/>
        </w:rPr>
        <w:t>委》</w:t>
      </w:r>
      <w:r>
        <w:rPr>
          <w:rFonts w:hint="eastAsia" w:ascii="仿宋_GB2312" w:hAnsi="仿宋_GB2312" w:eastAsia="仿宋_GB2312" w:cs="仿宋_GB2312"/>
          <w:sz w:val="32"/>
          <w:szCs w:val="32"/>
          <w:lang w:val="en-US" w:eastAsia="en-US"/>
        </w:rPr>
        <w:t>省残联关于转发中央综治办等六部委（关于实施以奖代补政策落实严重精神障碍患者监护责任的意见）的通知》（川综治办（2017）34 号）文件精神，经报州人民政府同意，2017 年起我州对重型精神疾病患者未发生肇事肇祸行为的</w:t>
      </w:r>
      <w:r>
        <w:rPr>
          <w:rFonts w:hint="eastAsia" w:ascii="仿宋_GB2312" w:hAnsi="仿宋_GB2312" w:eastAsia="仿宋_GB2312" w:cs="仿宋_GB2312"/>
          <w:sz w:val="32"/>
          <w:szCs w:val="32"/>
          <w:lang w:val="en-US" w:eastAsia="zh-CN"/>
        </w:rPr>
        <w:t>，给予监护人奖励。</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根据平安阿坝建设暨州域社会治理现代化工作领导小组办公室 阿坝州公安局 阿坝州民政局 阿坝州财政局 阿坝州卫生健康委员会 阿坝州残疾人联合会《关于持续实施以奖代补政策落实严重精神障碍患者监护责任的通知》（平安阿坝暨州域社会治理办发</w:t>
      </w:r>
      <w:r>
        <w:rPr>
          <w:rFonts w:hint="eastAsia" w:ascii="仿宋_GB2312" w:hAnsi="仿宋_GB2312" w:eastAsia="仿宋_GB2312" w:cs="仿宋_GB2312"/>
          <w:sz w:val="32"/>
          <w:szCs w:val="32"/>
          <w:lang w:val="en-US" w:eastAsia="en-US"/>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lang w:val="en-US" w:eastAsia="en-US"/>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eastAsia="en-US"/>
        </w:rPr>
        <w:t xml:space="preserve"> 号）</w:t>
      </w:r>
      <w:r>
        <w:rPr>
          <w:rFonts w:hint="eastAsia" w:ascii="仿宋_GB2312" w:hAnsi="仿宋_GB2312" w:eastAsia="仿宋_GB2312" w:cs="仿宋_GB2312"/>
          <w:sz w:val="32"/>
          <w:szCs w:val="32"/>
          <w:lang w:val="en-US" w:eastAsia="zh-CN"/>
        </w:rPr>
        <w:t>文件内容，明确了奖补标准。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监护资金由监护人提出书面申请，所在村（社区）委会申报，乡镇审核并报卫健部门汇总奖补人数，公安部门对严重精神障碍患者在奖补年度内有无肇事肇祸行为进行依法认定。县（市）党委政法委、公安局、民政局、财政局、卫健局、残联几个部门召开联席会议确定最终奖补人数，于每年12月20日前报州直相关部门备案。州、县（市）卫健部门要及时协调本级财政下达配套奖补资金。每年的奖补资金划拨到位后，由各县（市）卫健局在3个月内组织完成发放。</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奖补标准：当年未发生肇事肇祸行为的严重精神障碍患者，给予监护人奖励，按每人每年2000元的标准发放，以奖代补资金纳入州、县（市）财政预算，配套比例为：州财政30%，县级财政70%。</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2024年3月6日，阿州财社（2024）22号文件下达州级卫生健康专项州级配套补助资金3.36万元，县级配套7.98万元，预算以奖代补发放人数56人。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楷体_GB2312" w:cs="Times New Roman"/>
          <w:b/>
          <w:color w:val="auto"/>
          <w:sz w:val="32"/>
          <w:szCs w:val="32"/>
          <w:highlight w:val="none"/>
          <w:u w:val="none"/>
          <w:lang w:val="en-US" w:eastAsia="zh-CN"/>
        </w:rPr>
        <w:t>四</w:t>
      </w:r>
      <w:r>
        <w:rPr>
          <w:rFonts w:hint="eastAsia" w:ascii="Times New Roman" w:hAnsi="Times New Roman" w:eastAsia="楷体_GB2312" w:cs="Times New Roman"/>
          <w:b/>
          <w:color w:val="auto"/>
          <w:sz w:val="32"/>
          <w:szCs w:val="32"/>
          <w:highlight w:val="none"/>
          <w:u w:val="none"/>
          <w:lang w:val="zh-CN" w:eastAsia="zh-CN"/>
        </w:rPr>
        <w:t>）项目绩效目标设置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要求2024年12月30日前完成对2024年严重精神病障碍患者监护人“以奖代补”劳务补助发放，发放人数56人。中心按照要求完成了资金发放工作，实际发放人数54人。并于2024年4月开展了绩效自评工作，自评得分98.93分。</w:t>
      </w:r>
    </w:p>
    <w:p>
      <w:pPr>
        <w:keepNext w:val="0"/>
        <w:keepLines w:val="0"/>
        <w:pageBreakBefore w:val="0"/>
        <w:wordWrap/>
        <w:overflowPunct/>
        <w:topLinePunct w:val="0"/>
        <w:bidi w:val="0"/>
        <w:spacing w:line="560" w:lineRule="exact"/>
        <w:ind w:firstLine="640" w:firstLineChars="200"/>
        <w:rPr>
          <w:rFonts w:hint="eastAsia" w:ascii="黑体" w:hAnsi="宋体" w:eastAsia="黑体"/>
          <w:color w:val="auto"/>
          <w:highlight w:val="none"/>
          <w:lang w:eastAsia="zh-CN"/>
        </w:rPr>
      </w:pPr>
      <w:r>
        <w:rPr>
          <w:rFonts w:hint="eastAsia" w:ascii="黑体" w:hAnsi="黑体" w:eastAsia="黑体" w:cs="黑体"/>
          <w:sz w:val="32"/>
          <w:szCs w:val="32"/>
          <w:lang w:val="zh-CN"/>
        </w:rPr>
        <w:t>二、</w:t>
      </w:r>
      <w:r>
        <w:rPr>
          <w:rFonts w:hint="eastAsia" w:ascii="黑体" w:hAnsi="黑体" w:eastAsia="黑体" w:cs="黑体"/>
          <w:sz w:val="32"/>
          <w:szCs w:val="32"/>
          <w:lang w:val="zh-CN" w:eastAsia="zh-CN"/>
        </w:rPr>
        <w:t>评价实施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（一）评价目的</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eastAsia="仿宋_GB2312" w:cs="Times New Roman"/>
          <w:szCs w:val="32"/>
        </w:rPr>
      </w:pPr>
      <w:r>
        <w:rPr>
          <w:rFonts w:hint="eastAsia" w:ascii="仿宋_GB2312" w:hAnsi="仿宋_GB2312" w:eastAsia="仿宋_GB2312" w:cs="仿宋_GB2312"/>
          <w:sz w:val="32"/>
          <w:szCs w:val="32"/>
          <w:lang w:val="zh-CN" w:eastAsia="zh-CN"/>
        </w:rPr>
        <w:t>通过项目绩效自评，确定项目开展效果，项目开展内容是否达到上级部门下达的指标要求。</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楷体_GB2312" w:cs="Times New Roman"/>
          <w:b/>
          <w:color w:val="auto"/>
          <w:sz w:val="32"/>
          <w:szCs w:val="32"/>
          <w:highlight w:val="none"/>
          <w:u w:val="none"/>
          <w:lang w:val="en-US" w:eastAsia="zh-CN"/>
        </w:rPr>
        <w:t>二</w:t>
      </w:r>
      <w:r>
        <w:rPr>
          <w:rFonts w:hint="eastAsia" w:ascii="Times New Roman" w:hAnsi="Times New Roman" w:eastAsia="楷体_GB2312" w:cs="Times New Roman"/>
          <w:b/>
          <w:color w:val="auto"/>
          <w:sz w:val="32"/>
          <w:szCs w:val="32"/>
          <w:highlight w:val="none"/>
          <w:u w:val="none"/>
          <w:lang w:val="zh-CN" w:eastAsia="zh-CN"/>
        </w:rPr>
        <w:t>）预设问题及评价重点</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按照绩效评价指标体系，中心从通用指标、专用指标及个性指标对项目开展了绩效评价工作。该项目资金支出使用全过程符合州级配套要求，全部用于支付</w:t>
      </w:r>
      <w:r>
        <w:rPr>
          <w:rFonts w:hint="eastAsia" w:ascii="仿宋_GB2312" w:hAnsi="仿宋_GB2312" w:eastAsia="仿宋_GB2312" w:cs="仿宋_GB2312"/>
          <w:sz w:val="32"/>
          <w:szCs w:val="32"/>
          <w:lang w:val="en-US" w:eastAsia="zh-CN"/>
        </w:rPr>
        <w:t>2024年严重精神病障碍患者监护人，共计发放10.8万元（其中：州级补助3.24万元、县级补助7.56万元），发放人数54人，实施效果与预计效果相符。</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三</w:t>
      </w:r>
      <w:r>
        <w:rPr>
          <w:rFonts w:hint="eastAsia" w:ascii="楷体_GB2312" w:hAnsi="宋体" w:eastAsia="楷体_GB2312"/>
          <w:b/>
          <w:color w:val="auto"/>
          <w:sz w:val="32"/>
          <w:szCs w:val="32"/>
          <w:highlight w:val="none"/>
          <w:u w:val="none"/>
          <w:lang w:val="zh-CN"/>
        </w:rPr>
        <w:t>）评价选点</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项目绩效自评主要通过抽取</w:t>
      </w:r>
      <w:r>
        <w:rPr>
          <w:rFonts w:hint="eastAsia" w:ascii="仿宋_GB2312" w:hAnsi="仿宋_GB2312" w:eastAsia="仿宋_GB2312" w:cs="仿宋_GB2312"/>
          <w:sz w:val="32"/>
          <w:szCs w:val="32"/>
          <w:lang w:val="en-US" w:eastAsia="zh-CN"/>
        </w:rPr>
        <w:t>2024年资金拨付凭证来进行自评工作，通过核查中心拨付凭证，确定了项目资金的确用于发放精神病障碍患者监护人，附件资料均由监护人本人提出申请，并经所在村（社区）、乡镇及公安部门认定的无肇事肇祸证明，符合拨付条件。</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四</w:t>
      </w: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由于该专项资金主要用于涉及民生保障，奖补范围及标准明确，奖补方法有据可依。我中心采用单位自评法、实地勘察法对项目进行自评工作。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b/>
          <w:color w:val="auto"/>
          <w:sz w:val="32"/>
          <w:szCs w:val="32"/>
          <w:highlight w:val="none"/>
          <w:u w:val="none"/>
          <w:lang w:val="en-US" w:eastAsia="zh-CN"/>
        </w:rPr>
        <w:t>五</w:t>
      </w: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评价组人员构成如下：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组长：郭成慧  指导中心主任 负责全面评价工作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成员：桑基忠  负责财务相关评价工作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江友林  负责2024年指导办相关评价工作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1600" w:firstLineChars="500"/>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王  蕊   负责2024年乡镇执行机构绩效评价工作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评价组小组成员负责翻阅、自查严重精神病障碍患者以奖代补资金附件资料，自查发放范围、人数及标准是否符合州级要求。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color w:val="auto"/>
          <w:sz w:val="32"/>
          <w:szCs w:val="32"/>
          <w:highlight w:val="none"/>
          <w:u w:val="none"/>
          <w:lang w:val="zh-CN"/>
        </w:rPr>
      </w:pPr>
      <w:r>
        <w:rPr>
          <w:rFonts w:hint="eastAsia" w:ascii="黑体" w:hAnsi="黑体" w:eastAsia="黑体" w:cs="黑体"/>
          <w:sz w:val="32"/>
          <w:szCs w:val="32"/>
          <w:lang w:val="zh-CN"/>
        </w:rPr>
        <w:t>三、</w:t>
      </w:r>
      <w:r>
        <w:rPr>
          <w:rFonts w:hint="eastAsia" w:ascii="黑体" w:hAnsi="黑体" w:eastAsia="黑体" w:cs="黑体"/>
          <w:sz w:val="32"/>
          <w:szCs w:val="32"/>
          <w:lang w:val="zh-CN"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中心</w:t>
      </w:r>
      <w:r>
        <w:rPr>
          <w:rFonts w:hint="default" w:ascii="仿宋_GB2312" w:hAnsi="仿宋_GB2312" w:eastAsia="仿宋_GB2312" w:cs="仿宋_GB2312"/>
          <w:sz w:val="32"/>
          <w:szCs w:val="32"/>
          <w:lang w:val="zh-CN" w:eastAsia="zh-CN"/>
        </w:rPr>
        <w:t>根据</w:t>
      </w:r>
      <w:r>
        <w:rPr>
          <w:rFonts w:hint="eastAsia" w:ascii="仿宋_GB2312" w:hAnsi="仿宋_GB2312" w:eastAsia="仿宋_GB2312" w:cs="仿宋_GB2312"/>
          <w:sz w:val="32"/>
          <w:szCs w:val="32"/>
          <w:lang w:val="zh-CN" w:eastAsia="zh-CN"/>
        </w:rPr>
        <w:t>项目</w:t>
      </w:r>
      <w:r>
        <w:rPr>
          <w:rFonts w:hint="default" w:ascii="仿宋_GB2312" w:hAnsi="仿宋_GB2312" w:eastAsia="仿宋_GB2312" w:cs="仿宋_GB2312"/>
          <w:sz w:val="32"/>
          <w:szCs w:val="32"/>
          <w:lang w:val="zh-CN" w:eastAsia="zh-CN"/>
        </w:rPr>
        <w:t>预算绩效评价指标体系“</w:t>
      </w:r>
      <w:r>
        <w:rPr>
          <w:rFonts w:hint="eastAsia" w:ascii="仿宋_GB2312" w:hAnsi="仿宋_GB2312" w:eastAsia="仿宋_GB2312" w:cs="仿宋_GB2312"/>
          <w:sz w:val="32"/>
          <w:szCs w:val="32"/>
          <w:lang w:val="zh-CN" w:eastAsia="zh-CN"/>
        </w:rPr>
        <w:t>通用指标</w:t>
      </w:r>
      <w:r>
        <w:rPr>
          <w:rFonts w:hint="default"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eastAsia="zh-CN"/>
        </w:rPr>
        <w:t>“专用指标”“个性</w:t>
      </w:r>
      <w:r>
        <w:rPr>
          <w:rFonts w:hint="eastAsia" w:ascii="仿宋_GB2312" w:hAnsi="仿宋_GB2312" w:eastAsia="仿宋_GB2312" w:cs="仿宋_GB2312"/>
          <w:color w:val="auto"/>
          <w:sz w:val="32"/>
          <w:szCs w:val="32"/>
          <w:lang w:val="zh-CN" w:eastAsia="zh-CN"/>
        </w:rPr>
        <w:t>指标</w:t>
      </w:r>
      <w:r>
        <w:rPr>
          <w:rFonts w:hint="eastAsia" w:ascii="仿宋_GB2312" w:hAnsi="仿宋_GB2312" w:eastAsia="仿宋_GB2312" w:cs="仿宋_GB2312"/>
          <w:sz w:val="32"/>
          <w:szCs w:val="32"/>
          <w:lang w:val="zh-CN" w:eastAsia="zh-CN"/>
        </w:rPr>
        <w:t>”三个方面对该项资金进行了全方位自评工作，具体情况如下：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rPr>
        <w:t>绩效分析。</w:t>
      </w:r>
      <w:r>
        <w:rPr>
          <w:rFonts w:hint="eastAsia" w:ascii="楷体_GB2312" w:hAnsi="宋体" w:eastAsia="楷体_GB2312" w:cs="Times New Roman"/>
          <w:b/>
          <w:color w:val="auto"/>
          <w:sz w:val="32"/>
          <w:szCs w:val="32"/>
          <w:highlight w:val="none"/>
          <w:u w:val="none"/>
          <w:lang w:val="en-US" w:eastAsia="zh-CN"/>
        </w:rPr>
        <w:t>(53分</w:t>
      </w:r>
      <w:r>
        <w:rPr>
          <w:rFonts w:hint="eastAsia" w:eastAsia="楷体_GB2312" w:cs="Times New Roman"/>
          <w:b/>
          <w:bCs/>
          <w:color w:val="000000"/>
          <w:kern w:val="0"/>
          <w:szCs w:val="32"/>
          <w:highlight w:val="none"/>
          <w:shd w:val="clear" w:color="auto" w:fill="FFFFFF"/>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项目决策</w:t>
      </w:r>
      <w:r>
        <w:rPr>
          <w:rFonts w:hint="eastAsia" w:ascii="仿宋_GB2312" w:hAnsi="仿宋_GB2312" w:eastAsia="仿宋_GB2312" w:cs="仿宋_GB2312"/>
          <w:color w:val="auto"/>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Times New Roman"/>
          <w:color w:val="auto"/>
          <w:szCs w:val="32"/>
          <w:lang w:val="en-US" w:eastAsia="zh-CN"/>
        </w:rPr>
      </w:pPr>
      <w:r>
        <w:rPr>
          <w:rFonts w:hint="eastAsia" w:ascii="仿宋_GB2312" w:hAnsi="仿宋_GB2312" w:eastAsia="仿宋_GB2312" w:cs="仿宋_GB2312"/>
          <w:sz w:val="32"/>
          <w:szCs w:val="32"/>
          <w:lang w:val="zh-CN" w:eastAsia="zh-CN"/>
        </w:rPr>
        <w:t>决策程序（</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lang w:val="zh-CN" w:eastAsia="zh-CN"/>
        </w:rPr>
        <w:t>：项目设立、调整延续等方面符合资金管理基本规范和决策程序要求。项目设立以阿州财社（</w:t>
      </w:r>
      <w:r>
        <w:rPr>
          <w:rFonts w:hint="eastAsia" w:ascii="仿宋_GB2312" w:hAnsi="仿宋_GB2312" w:eastAsia="仿宋_GB2312" w:cs="仿宋_GB2312"/>
          <w:sz w:val="32"/>
          <w:szCs w:val="32"/>
          <w:lang w:val="en-US" w:eastAsia="zh-CN"/>
        </w:rPr>
        <w:t>2023</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31号文件要求确定补助范围、标准及发放人数。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规划论证（</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lang w:val="zh-CN" w:eastAsia="zh-CN"/>
        </w:rPr>
        <w:t>：项目规划符合</w:t>
      </w:r>
      <w:r>
        <w:rPr>
          <w:rFonts w:hint="eastAsia" w:ascii="仿宋_GB2312" w:hAnsi="仿宋_GB2312" w:eastAsia="仿宋_GB2312" w:cs="仿宋_GB2312"/>
          <w:sz w:val="32"/>
          <w:szCs w:val="32"/>
          <w:lang w:val="en-US" w:eastAsia="zh-CN"/>
        </w:rPr>
        <w:t>平安阿坝建设暨州域社会治理现代化工作领导小组办公室 阿坝州公安局 阿坝州民政局 阿坝州财政局 阿坝州卫生健康委员会 阿坝州残疾人联合会《关于持续实施以奖代补政策落实严重精神障碍患者监护责任的通知》（平安阿坝暨州域社会治理办发</w:t>
      </w:r>
      <w:r>
        <w:rPr>
          <w:rFonts w:hint="eastAsia" w:ascii="仿宋_GB2312" w:hAnsi="仿宋_GB2312" w:eastAsia="仿宋_GB2312" w:cs="仿宋_GB2312"/>
          <w:sz w:val="32"/>
          <w:szCs w:val="32"/>
          <w:lang w:val="en-US" w:eastAsia="en-US"/>
        </w:rPr>
        <w:t>（20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lang w:val="en-US" w:eastAsia="en-US"/>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eastAsia="en-US"/>
        </w:rPr>
        <w:t xml:space="preserve"> 号）</w:t>
      </w:r>
      <w:r>
        <w:rPr>
          <w:rFonts w:hint="eastAsia" w:ascii="仿宋_GB2312" w:hAnsi="仿宋_GB2312" w:eastAsia="仿宋_GB2312" w:cs="仿宋_GB2312"/>
          <w:sz w:val="32"/>
          <w:szCs w:val="32"/>
          <w:lang w:val="en-US" w:eastAsia="zh-CN"/>
        </w:rPr>
        <w:t>文件要求</w:t>
      </w:r>
      <w:r>
        <w:rPr>
          <w:rFonts w:hint="eastAsia" w:ascii="仿宋_GB2312" w:hAnsi="仿宋_GB2312" w:eastAsia="仿宋_GB2312" w:cs="仿宋_GB2312"/>
          <w:sz w:val="32"/>
          <w:szCs w:val="32"/>
          <w:lang w:val="zh-CN" w:eastAsia="zh-CN"/>
        </w:rPr>
        <w:t>；项目充分评估了论证项目立项必要性、前瞻性、合理性和可行性；项目总体绩效目标设置合理性的偏离度≤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资金投向（</w:t>
      </w:r>
      <w:r>
        <w:rPr>
          <w:rFonts w:hint="eastAsia" w:ascii="仿宋_GB2312" w:hAnsi="仿宋_GB2312" w:eastAsia="仿宋_GB2312" w:cs="仿宋_GB2312"/>
          <w:sz w:val="32"/>
          <w:szCs w:val="32"/>
          <w:lang w:val="en-US" w:eastAsia="zh-CN"/>
        </w:rPr>
        <w:t>6分）：该项目</w:t>
      </w:r>
      <w:r>
        <w:rPr>
          <w:rFonts w:hint="eastAsia" w:ascii="仿宋_GB2312" w:hAnsi="仿宋_GB2312" w:eastAsia="仿宋_GB2312" w:cs="仿宋_GB2312"/>
          <w:sz w:val="32"/>
          <w:szCs w:val="32"/>
          <w:lang w:val="zh-CN"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项目管理</w:t>
      </w:r>
      <w:r>
        <w:rPr>
          <w:rFonts w:hint="eastAsia" w:ascii="仿宋_GB2312" w:hAnsi="仿宋_GB2312" w:eastAsia="仿宋_GB2312" w:cs="仿宋_GB2312"/>
          <w:sz w:val="32"/>
          <w:szCs w:val="32"/>
          <w:lang w:val="en-US" w:eastAsia="zh-CN"/>
        </w:rPr>
        <w:t xml:space="preserve">  （17分）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制度办法（</w:t>
      </w:r>
      <w:r>
        <w:rPr>
          <w:rFonts w:hint="eastAsia" w:ascii="仿宋_GB2312" w:hAnsi="仿宋_GB2312" w:eastAsia="仿宋_GB2312" w:cs="仿宋_GB2312"/>
          <w:sz w:val="32"/>
          <w:szCs w:val="32"/>
          <w:lang w:val="en-US" w:eastAsia="zh-CN"/>
        </w:rPr>
        <w:t>1分</w:t>
      </w:r>
      <w:r>
        <w:rPr>
          <w:rFonts w:hint="eastAsia" w:ascii="仿宋_GB2312" w:hAnsi="仿宋_GB2312" w:eastAsia="仿宋_GB2312" w:cs="仿宋_GB2312"/>
          <w:sz w:val="32"/>
          <w:szCs w:val="32"/>
          <w:lang w:val="zh-CN" w:eastAsia="zh-CN"/>
        </w:rPr>
        <w:t>）：单位未</w:t>
      </w:r>
      <w:r>
        <w:rPr>
          <w:rFonts w:hint="default" w:ascii="仿宋_GB2312" w:hAnsi="仿宋_GB2312" w:eastAsia="仿宋_GB2312" w:cs="仿宋_GB2312"/>
          <w:sz w:val="32"/>
          <w:szCs w:val="32"/>
          <w:lang w:eastAsia="zh-CN"/>
        </w:rPr>
        <w:t>针对</w:t>
      </w:r>
      <w:r>
        <w:rPr>
          <w:rFonts w:hint="eastAsia" w:ascii="仿宋_GB2312" w:hAnsi="仿宋_GB2312" w:eastAsia="仿宋_GB2312" w:cs="仿宋_GB2312"/>
          <w:sz w:val="32"/>
          <w:szCs w:val="32"/>
          <w:lang w:val="zh-CN" w:eastAsia="zh-CN"/>
        </w:rPr>
        <w:t>该项目单独设立资金管理办法，专项资金的使用严格按照项目实施方案以及财政相关规章制度执行。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分配管理（</w:t>
      </w:r>
      <w:r>
        <w:rPr>
          <w:rFonts w:hint="eastAsia" w:ascii="仿宋_GB2312" w:hAnsi="仿宋_GB2312" w:eastAsia="仿宋_GB2312" w:cs="仿宋_GB2312"/>
          <w:sz w:val="32"/>
          <w:szCs w:val="32"/>
          <w:lang w:val="en-US" w:eastAsia="zh-CN"/>
        </w:rPr>
        <w:t>10分</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）因素分配法：资金分配因素选取充分考虑相关行业事业发展实际和发展需求；资金分配因素的权重设置有效突出项目实施重点；资金区域分布结果公平合理。（</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）项目分配法：预算管理一体化有项目库；实行入库项目动态管理，按月、按季度开展动态监控；明确项目申报审核程序，按规定程序履行项目审批，项目申报符合州级要求</w:t>
      </w:r>
      <w:bookmarkStart w:id="0" w:name="_GoBack"/>
      <w:bookmarkEnd w:id="0"/>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）其他分配法：资金分配依据充分合理。资金分配严格按管理办法执行，决策程序符合管理要求，及时高效。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绩效监管（</w:t>
      </w:r>
      <w:r>
        <w:rPr>
          <w:rFonts w:hint="eastAsia" w:ascii="仿宋_GB2312" w:hAnsi="仿宋_GB2312" w:eastAsia="仿宋_GB2312" w:cs="仿宋_GB2312"/>
          <w:sz w:val="32"/>
          <w:szCs w:val="32"/>
          <w:lang w:val="en-US" w:eastAsia="zh-CN"/>
        </w:rPr>
        <w:t>6分</w:t>
      </w:r>
      <w:r>
        <w:rPr>
          <w:rFonts w:hint="eastAsia" w:ascii="仿宋_GB2312" w:hAnsi="仿宋_GB2312" w:eastAsia="仿宋_GB2312" w:cs="仿宋_GB2312"/>
          <w:sz w:val="32"/>
          <w:szCs w:val="32"/>
          <w:lang w:val="zh-CN" w:eastAsia="zh-CN"/>
        </w:rPr>
        <w:t>）：项目按省、州要求全面完成绩效目标（含事前评估）、绩效评价、以前年度问题整改等预算绩效管理工作；省级部门对市县主管部门预算绩效管理要求到位，州、县资金分配和项目管理指导力度充足。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3.项目实施（8.93分）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预算执行（</w:t>
      </w:r>
      <w:r>
        <w:rPr>
          <w:rFonts w:hint="eastAsia" w:ascii="仿宋_GB2312" w:hAnsi="仿宋_GB2312" w:eastAsia="仿宋_GB2312" w:cs="仿宋_GB2312"/>
          <w:sz w:val="32"/>
          <w:szCs w:val="32"/>
          <w:lang w:val="en-US" w:eastAsia="zh-CN"/>
        </w:rPr>
        <w:t>5.93分</w:t>
      </w:r>
      <w:r>
        <w:rPr>
          <w:rFonts w:hint="eastAsia" w:ascii="仿宋_GB2312" w:hAnsi="仿宋_GB2312" w:eastAsia="仿宋_GB2312" w:cs="仿宋_GB2312"/>
          <w:sz w:val="32"/>
          <w:szCs w:val="32"/>
          <w:lang w:val="zh-CN" w:eastAsia="zh-CN"/>
        </w:rPr>
        <w:t>）：该项指标得分=</w:t>
      </w:r>
      <w:r>
        <w:rPr>
          <w:rFonts w:hint="default" w:ascii="仿宋_GB2312" w:hAnsi="仿宋_GB2312" w:eastAsia="仿宋_GB2312" w:cs="仿宋_GB2312"/>
          <w:sz w:val="32"/>
          <w:szCs w:val="32"/>
          <w:lang w:val="en-US" w:eastAsia="zh-CN"/>
        </w:rPr>
        <w:t>财政资金拨付率×100%×2+</w:t>
      </w:r>
      <w:r>
        <w:rPr>
          <w:rFonts w:hint="eastAsia" w:ascii="仿宋_GB2312" w:hAnsi="仿宋_GB2312" w:eastAsia="仿宋_GB2312" w:cs="仿宋_GB2312"/>
          <w:sz w:val="32"/>
          <w:szCs w:val="32"/>
          <w:lang w:val="en-US" w:eastAsia="zh-CN"/>
        </w:rPr>
        <w:t>单位资金使用</w:t>
      </w:r>
      <w:r>
        <w:rPr>
          <w:rFonts w:hint="default" w:ascii="仿宋_GB2312" w:hAnsi="仿宋_GB2312" w:eastAsia="仿宋_GB2312" w:cs="仿宋_GB2312"/>
          <w:sz w:val="32"/>
          <w:szCs w:val="32"/>
          <w:lang w:val="en-US" w:eastAsia="zh-CN"/>
        </w:rPr>
        <w:t>率×100%×2+地方资金到位率×100%×2</w:t>
      </w:r>
      <w:r>
        <w:rPr>
          <w:rFonts w:hint="eastAsia" w:ascii="仿宋_GB2312" w:hAnsi="仿宋_GB2312" w:eastAsia="仿宋_GB2312" w:cs="仿宋_GB2312"/>
          <w:sz w:val="32"/>
          <w:szCs w:val="32"/>
          <w:lang w:val="en-US" w:eastAsia="zh-CN"/>
        </w:rPr>
        <w:t>=96.43%</w:t>
      </w:r>
      <w:r>
        <w:rPr>
          <w:rFonts w:hint="eastAsia" w:ascii="仿宋_GB2312" w:hAnsi="仿宋_GB2312" w:eastAsia="仿宋_GB2312" w:cs="仿宋_GB2312"/>
          <w:sz w:val="32"/>
          <w:szCs w:val="32"/>
          <w:lang w:val="zh-CN" w:eastAsia="zh-CN"/>
        </w:rPr>
        <w:t>×100%×2+</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×100%×2+</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×100%×2</w:t>
      </w:r>
      <w:r>
        <w:rPr>
          <w:rFonts w:hint="eastAsia" w:ascii="仿宋_GB2312" w:hAnsi="仿宋_GB2312" w:eastAsia="仿宋_GB2312" w:cs="仿宋_GB2312"/>
          <w:sz w:val="32"/>
          <w:szCs w:val="32"/>
          <w:lang w:val="en-US" w:eastAsia="zh-CN"/>
        </w:rPr>
        <w:t>=5.93分。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资金使用（</w:t>
      </w:r>
      <w:r>
        <w:rPr>
          <w:rFonts w:hint="eastAsia" w:ascii="仿宋_GB2312" w:hAnsi="仿宋_GB2312" w:eastAsia="仿宋_GB2312" w:cs="仿宋_GB2312"/>
          <w:sz w:val="32"/>
          <w:szCs w:val="32"/>
          <w:lang w:val="en-US" w:eastAsia="zh-CN"/>
        </w:rPr>
        <w:t>3分</w:t>
      </w:r>
      <w:r>
        <w:rPr>
          <w:rFonts w:hint="eastAsia" w:ascii="仿宋_GB2312" w:hAnsi="仿宋_GB2312" w:eastAsia="仿宋_GB2312" w:cs="仿宋_GB2312"/>
          <w:sz w:val="32"/>
          <w:szCs w:val="32"/>
          <w:lang w:val="zh-CN"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4.项目结果（8.79分）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目标完成（</w:t>
      </w:r>
      <w:r>
        <w:rPr>
          <w:rFonts w:hint="eastAsia" w:ascii="仿宋_GB2312" w:hAnsi="仿宋_GB2312" w:eastAsia="仿宋_GB2312" w:cs="仿宋_GB2312"/>
          <w:sz w:val="32"/>
          <w:szCs w:val="32"/>
          <w:lang w:val="en-US" w:eastAsia="zh-CN"/>
        </w:rPr>
        <w:t>5.79分</w:t>
      </w:r>
      <w:r>
        <w:rPr>
          <w:rFonts w:hint="eastAsia" w:ascii="仿宋_GB2312" w:hAnsi="仿宋_GB2312" w:eastAsia="仿宋_GB2312" w:cs="仿宋_GB2312"/>
          <w:sz w:val="32"/>
          <w:szCs w:val="32"/>
          <w:lang w:val="zh-CN" w:eastAsia="zh-CN"/>
        </w:rPr>
        <w:t>）：该项指标得分</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eastAsia="zh-CN"/>
        </w:rPr>
        <w:t>该项指标得分=实际完成目标任务量÷首次批复立项设定绩效目标任务总量×100%×6</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56</w:t>
      </w:r>
      <w:r>
        <w:rPr>
          <w:rFonts w:hint="eastAsia" w:ascii="仿宋_GB2312" w:hAnsi="仿宋_GB2312" w:eastAsia="仿宋_GB2312" w:cs="仿宋_GB2312"/>
          <w:sz w:val="32"/>
          <w:szCs w:val="32"/>
          <w:lang w:val="zh-CN" w:eastAsia="zh-CN"/>
        </w:rPr>
        <w:t>×100%×6</w:t>
      </w:r>
      <w:r>
        <w:rPr>
          <w:rFonts w:hint="eastAsia" w:ascii="仿宋_GB2312" w:hAnsi="仿宋_GB2312" w:eastAsia="仿宋_GB2312" w:cs="仿宋_GB2312"/>
          <w:sz w:val="32"/>
          <w:szCs w:val="32"/>
          <w:lang w:val="en-US" w:eastAsia="zh-CN"/>
        </w:rPr>
        <w:t>=5.79分。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完成时效（</w:t>
      </w:r>
      <w:r>
        <w:rPr>
          <w:rFonts w:hint="eastAsia" w:ascii="仿宋_GB2312" w:hAnsi="仿宋_GB2312" w:eastAsia="仿宋_GB2312" w:cs="仿宋_GB2312"/>
          <w:sz w:val="32"/>
          <w:szCs w:val="32"/>
          <w:lang w:val="en-US" w:eastAsia="zh-CN"/>
        </w:rPr>
        <w:t>3分</w:t>
      </w:r>
      <w:r>
        <w:rPr>
          <w:rFonts w:hint="eastAsia" w:ascii="仿宋_GB2312" w:hAnsi="仿宋_GB2312" w:eastAsia="仿宋_GB2312" w:cs="仿宋_GB2312"/>
          <w:sz w:val="32"/>
          <w:szCs w:val="32"/>
          <w:lang w:val="zh-CN" w:eastAsia="zh-CN"/>
        </w:rPr>
        <w:t>）：该项指标得分=（1-(</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）×100%×3</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eastAsia="zh-CN"/>
        </w:rPr>
        <w:t>指标以月数为单位。实际完成时间-计划完成时间等于0，得</w:t>
      </w:r>
      <w:r>
        <w:rPr>
          <w:rFonts w:hint="eastAsia" w:ascii="仿宋_GB2312" w:hAnsi="仿宋_GB2312" w:eastAsia="仿宋_GB2312" w:cs="仿宋_GB2312"/>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29.75分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区域均衡性（</w:t>
      </w:r>
      <w:r>
        <w:rPr>
          <w:rFonts w:hint="eastAsia" w:ascii="仿宋_GB2312" w:hAnsi="仿宋_GB2312" w:eastAsia="仿宋_GB2312" w:cs="仿宋_GB2312"/>
          <w:sz w:val="32"/>
          <w:szCs w:val="32"/>
          <w:lang w:val="en-US" w:eastAsia="zh-CN"/>
        </w:rPr>
        <w:t>10分</w:t>
      </w:r>
      <w:r>
        <w:rPr>
          <w:rFonts w:hint="eastAsia" w:ascii="仿宋_GB2312" w:hAnsi="仿宋_GB2312" w:eastAsia="仿宋_GB2312" w:cs="仿宋_GB2312"/>
          <w:sz w:val="32"/>
          <w:szCs w:val="32"/>
          <w:lang w:val="zh-CN" w:eastAsia="zh-CN"/>
        </w:rPr>
        <w:t>）：该项目实施使精神病患者监护人生活水平得到了改善、缩小了区域间差距。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对象精准性（</w:t>
      </w:r>
      <w:r>
        <w:rPr>
          <w:rFonts w:hint="eastAsia" w:ascii="仿宋_GB2312" w:hAnsi="仿宋_GB2312" w:eastAsia="仿宋_GB2312" w:cs="仿宋_GB2312"/>
          <w:sz w:val="32"/>
          <w:szCs w:val="32"/>
          <w:lang w:val="en-US" w:eastAsia="zh-CN"/>
        </w:rPr>
        <w:t>10分</w:t>
      </w:r>
      <w:r>
        <w:rPr>
          <w:rFonts w:hint="eastAsia" w:ascii="仿宋_GB2312" w:hAnsi="仿宋_GB2312" w:eastAsia="仿宋_GB2312" w:cs="仿宋_GB2312"/>
          <w:sz w:val="32"/>
          <w:szCs w:val="32"/>
          <w:lang w:val="zh-CN" w:eastAsia="zh-CN"/>
        </w:rPr>
        <w:t>）：该项指标得分=（</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sz w:val="32"/>
          <w:szCs w:val="32"/>
          <w:lang w:val="zh-CN" w:eastAsia="zh-CN"/>
        </w:rPr>
        <w:t>×100%×10</w:t>
      </w:r>
      <w:r>
        <w:rPr>
          <w:rFonts w:hint="eastAsia" w:ascii="仿宋_GB2312" w:hAnsi="仿宋_GB2312" w:eastAsia="仿宋_GB2312" w:cs="仿宋_GB2312"/>
          <w:sz w:val="32"/>
          <w:szCs w:val="32"/>
          <w:lang w:val="en-US" w:eastAsia="zh-CN"/>
        </w:rPr>
        <w:t>=10分。抽样的支持对象总人数54人，不符合支持对象人数0人，抽样的支持对象总人数54人。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标准合理性（</w:t>
      </w:r>
      <w:r>
        <w:rPr>
          <w:rFonts w:hint="eastAsia" w:ascii="仿宋_GB2312" w:hAnsi="仿宋_GB2312" w:eastAsia="仿宋_GB2312" w:cs="仿宋_GB2312"/>
          <w:sz w:val="32"/>
          <w:szCs w:val="32"/>
          <w:lang w:val="en-US" w:eastAsia="zh-CN"/>
        </w:rPr>
        <w:t>5分</w:t>
      </w:r>
      <w:r>
        <w:rPr>
          <w:rFonts w:hint="eastAsia" w:ascii="仿宋_GB2312" w:hAnsi="仿宋_GB2312" w:eastAsia="仿宋_GB2312" w:cs="仿宋_GB2312"/>
          <w:sz w:val="32"/>
          <w:szCs w:val="32"/>
          <w:lang w:val="zh-CN" w:eastAsia="zh-CN"/>
        </w:rPr>
        <w:t>）：该项指标得分=（</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54</w:t>
      </w:r>
      <w:r>
        <w:rPr>
          <w:rFonts w:hint="eastAsia" w:ascii="仿宋_GB2312" w:hAnsi="仿宋_GB2312" w:eastAsia="仿宋_GB2312" w:cs="仿宋_GB2312"/>
          <w:sz w:val="32"/>
          <w:szCs w:val="32"/>
          <w:lang w:val="zh-CN" w:eastAsia="zh-CN"/>
        </w:rPr>
        <w:t>×100%×5</w:t>
      </w:r>
      <w:r>
        <w:rPr>
          <w:rFonts w:hint="eastAsia" w:ascii="仿宋_GB2312" w:hAnsi="仿宋_GB2312" w:eastAsia="仿宋_GB2312" w:cs="仿宋_GB2312"/>
          <w:sz w:val="32"/>
          <w:szCs w:val="32"/>
          <w:lang w:val="en-US" w:eastAsia="zh-CN"/>
        </w:rPr>
        <w:t>=5分。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群众满意度（</w:t>
      </w:r>
      <w:r>
        <w:rPr>
          <w:rFonts w:hint="eastAsia" w:ascii="仿宋_GB2312" w:hAnsi="仿宋_GB2312" w:eastAsia="仿宋_GB2312" w:cs="仿宋_GB2312"/>
          <w:sz w:val="32"/>
          <w:szCs w:val="32"/>
          <w:lang w:val="en-US" w:eastAsia="zh-CN"/>
        </w:rPr>
        <w:t>5分</w:t>
      </w:r>
      <w:r>
        <w:rPr>
          <w:rFonts w:hint="eastAsia" w:ascii="仿宋_GB2312" w:hAnsi="仿宋_GB2312" w:eastAsia="仿宋_GB2312" w:cs="仿宋_GB2312"/>
          <w:sz w:val="32"/>
          <w:szCs w:val="32"/>
          <w:lang w:val="zh-CN" w:eastAsia="zh-CN"/>
        </w:rPr>
        <w:t>）：该项指标得分=</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×100%×5</w:t>
      </w:r>
      <w:r>
        <w:rPr>
          <w:rFonts w:hint="eastAsia" w:ascii="仿宋_GB2312" w:hAnsi="仿宋_GB2312" w:eastAsia="仿宋_GB2312" w:cs="仿宋_GB2312"/>
          <w:sz w:val="32"/>
          <w:szCs w:val="32"/>
          <w:lang w:val="en-US" w:eastAsia="zh-CN"/>
        </w:rPr>
        <w:t>=5分。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en-US" w:eastAsia="zh-CN"/>
        </w:rPr>
        <w:t>（三）个性指标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楷体_GB2312" w:hAnsi="宋体" w:eastAsia="楷体_GB2312" w:cs="Times New Roman"/>
          <w:b/>
          <w:color w:val="auto"/>
          <w:sz w:val="32"/>
          <w:szCs w:val="32"/>
          <w:highlight w:val="none"/>
          <w:u w:val="none"/>
          <w:lang w:val="zh-CN" w:eastAsia="zh-CN"/>
        </w:rPr>
        <w:t>（</w:t>
      </w:r>
      <w:r>
        <w:rPr>
          <w:rFonts w:hint="eastAsia" w:ascii="楷体_GB2312" w:hAnsi="宋体" w:eastAsia="楷体_GB2312" w:cs="Times New Roman"/>
          <w:b/>
          <w:color w:val="auto"/>
          <w:sz w:val="32"/>
          <w:szCs w:val="32"/>
          <w:highlight w:val="none"/>
          <w:u w:val="none"/>
          <w:lang w:val="en-US" w:eastAsia="zh-CN"/>
        </w:rPr>
        <w:t>16分</w:t>
      </w:r>
      <w:r>
        <w:rPr>
          <w:rFonts w:hint="eastAsia" w:ascii="楷体_GB2312" w:hAnsi="宋体" w:eastAsia="楷体_GB2312" w:cs="Times New Roman"/>
          <w:b/>
          <w:color w:val="auto"/>
          <w:sz w:val="32"/>
          <w:szCs w:val="32"/>
          <w:highlight w:val="none"/>
          <w:u w:val="none"/>
          <w:lang w:val="zh-CN"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严重精神障碍患者监护人以奖代补人数（</w:t>
      </w:r>
      <w:r>
        <w:rPr>
          <w:rFonts w:hint="eastAsia" w:ascii="仿宋_GB2312" w:hAnsi="仿宋_GB2312" w:eastAsia="仿宋_GB2312" w:cs="仿宋_GB2312"/>
          <w:sz w:val="32"/>
          <w:szCs w:val="32"/>
          <w:lang w:val="en-US" w:eastAsia="zh-CN"/>
        </w:rPr>
        <w:t>8分</w:t>
      </w:r>
      <w:r>
        <w:rPr>
          <w:rFonts w:hint="eastAsia" w:ascii="仿宋_GB2312" w:hAnsi="仿宋_GB2312" w:eastAsia="仿宋_GB2312" w:cs="仿宋_GB2312"/>
          <w:sz w:val="32"/>
          <w:szCs w:val="32"/>
          <w:lang w:val="zh-CN" w:eastAsia="zh-CN"/>
        </w:rPr>
        <w:t>）：州级下达</w:t>
      </w:r>
      <w:r>
        <w:rPr>
          <w:rFonts w:hint="eastAsia" w:ascii="仿宋_GB2312" w:hAnsi="仿宋_GB2312" w:eastAsia="仿宋_GB2312" w:cs="仿宋_GB2312"/>
          <w:sz w:val="32"/>
          <w:szCs w:val="32"/>
          <w:lang w:val="en-US" w:eastAsia="zh-CN"/>
        </w:rPr>
        <w:t>2024年严重精神病障碍患者奖励补助人数56人，600元.人/年，共计下达3.36万元。县级配套2024年严重精神病障碍患者奖励补助人数57人，1400元.人/年，共计下达79800万元。截止2024年12月31日完成州、县拨付3.24万元、7.56万元，共计10.8万元，发放人数54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监护人“以奖代补”补助标准（</w:t>
      </w:r>
      <w:r>
        <w:rPr>
          <w:rFonts w:hint="eastAsia" w:ascii="仿宋_GB2312" w:hAnsi="仿宋_GB2312" w:eastAsia="仿宋_GB2312" w:cs="仿宋_GB2312"/>
          <w:sz w:val="32"/>
          <w:szCs w:val="32"/>
          <w:lang w:val="en-US" w:eastAsia="zh-CN"/>
        </w:rPr>
        <w:t>8分</w:t>
      </w:r>
      <w:r>
        <w:rPr>
          <w:rFonts w:hint="eastAsia" w:ascii="仿宋_GB2312" w:hAnsi="仿宋_GB2312" w:eastAsia="仿宋_GB2312" w:cs="仿宋_GB2312"/>
          <w:sz w:val="32"/>
          <w:szCs w:val="32"/>
          <w:lang w:val="zh-CN" w:eastAsia="zh-CN"/>
        </w:rPr>
        <w:t>）：监护人“以奖代补”州级补助标准600元/人年，县级补助标准</w:t>
      </w:r>
      <w:r>
        <w:rPr>
          <w:rFonts w:hint="eastAsia" w:ascii="仿宋_GB2312" w:hAnsi="仿宋_GB2312" w:eastAsia="仿宋_GB2312" w:cs="仿宋_GB2312"/>
          <w:sz w:val="32"/>
          <w:szCs w:val="32"/>
          <w:lang w:val="en-US" w:eastAsia="zh-CN"/>
        </w:rPr>
        <w:t>140</w:t>
      </w:r>
      <w:r>
        <w:rPr>
          <w:rFonts w:hint="eastAsia" w:ascii="仿宋_GB2312" w:hAnsi="仿宋_GB2312" w:eastAsia="仿宋_GB2312" w:cs="仿宋_GB2312"/>
          <w:sz w:val="32"/>
          <w:szCs w:val="32"/>
          <w:lang w:val="zh-CN" w:eastAsia="zh-CN"/>
        </w:rPr>
        <w:t>0元/人年。</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四、评价结论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该项专项预算项目绩效自评总体结论优异，自评得分98.93分，项目实施范围、发放人数及标准均符合州级要求，并按照完成了项目资金拨付，资金使用率达100%。</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五、存在主要问题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sz w:val="32"/>
          <w:szCs w:val="32"/>
          <w:lang w:val="en-US" w:eastAsia="zh-CN"/>
        </w:rPr>
        <w:t>在中心开展绩效自评中发现，精神病患者人数每年会有所增加，但符合无肇事肇祸行为的监护人无法在年初进行确定，故下达的专项资金可能与实际符合条件的人数存在差异。</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六、改进建议</w:t>
      </w:r>
    </w:p>
    <w:p>
      <w:pPr>
        <w:keepNext w:val="0"/>
        <w:keepLines w:val="0"/>
        <w:pageBreakBefore w:val="0"/>
        <w:tabs>
          <w:tab w:val="left" w:pos="1911"/>
        </w:tabs>
        <w:kinsoku/>
        <w:wordWrap/>
        <w:overflowPunct/>
        <w:topLinePunct w:val="0"/>
        <w:autoSpaceDE/>
        <w:autoSpaceDN/>
        <w:bidi w:val="0"/>
        <w:spacing w:line="56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专项预算安排资金可以根据年底实际发放情况多退少补，保障所有符合条件的精神病患者监护人均能享受本补助政策。</w:t>
      </w:r>
    </w:p>
    <w:p>
      <w:pPr>
        <w:pStyle w:val="2"/>
        <w:ind w:firstLine="640"/>
        <w:rPr>
          <w:rFonts w:hint="default"/>
          <w:lang w:val="en-US" w:eastAsia="zh-CN"/>
        </w:rPr>
      </w:pPr>
    </w:p>
    <w:p>
      <w:pPr>
        <w:rPr>
          <w:rFonts w:hint="default"/>
          <w:lang w:val="en-US" w:eastAsia="zh-CN"/>
        </w:rPr>
      </w:pPr>
    </w:p>
    <w:p>
      <w:pPr>
        <w:pStyle w:val="2"/>
        <w:rPr>
          <w:rFonts w:hint="default"/>
          <w:lang w:val="en-US" w:eastAsia="zh-CN"/>
        </w:rPr>
      </w:pPr>
    </w:p>
    <w:p>
      <w:pPr>
        <w:rPr>
          <w:rFonts w:hint="default"/>
          <w:lang w:val="en-US" w:eastAsia="zh-CN"/>
        </w:rPr>
      </w:pPr>
    </w:p>
    <w:p>
      <w:pPr>
        <w:pStyle w:val="2"/>
        <w:rPr>
          <w:rFonts w:hint="default"/>
          <w:lang w:val="en-US" w:eastAsia="zh-CN"/>
        </w:rPr>
      </w:pPr>
    </w:p>
    <w:p>
      <w:pPr>
        <w:rPr>
          <w:rFonts w:hint="eastAsia"/>
          <w:lang w:val="zh-CN" w:eastAsia="zh-CN"/>
        </w:rPr>
      </w:pPr>
    </w:p>
    <w:p>
      <w:pPr>
        <w:rPr>
          <w:rFonts w:hint="eastAsia"/>
          <w:lang w:val="zh-CN"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eastAsia" w:ascii="方正仿宋_GBK" w:hAnsi="方正仿宋_GBK" w:eastAsia="方正仿宋_GBK" w:cs="方正仿宋_GBK"/>
          <w:sz w:val="32"/>
          <w:szCs w:val="32"/>
          <w:lang w:val="en-US" w:eastAsia="zh-CN"/>
        </w:rPr>
      </w:pPr>
    </w:p>
    <w:p>
      <w:pPr>
        <w:pStyle w:val="2"/>
        <w:rPr>
          <w:rFonts w:hint="eastAsia" w:ascii="方正仿宋_GBK" w:hAnsi="方正仿宋_GBK" w:eastAsia="方正仿宋_GBK" w:cs="方正仿宋_GBK"/>
          <w:sz w:val="32"/>
          <w:szCs w:val="32"/>
          <w:lang w:val="en-US" w:eastAsia="zh-CN"/>
        </w:rPr>
      </w:pPr>
    </w:p>
    <w:p>
      <w:pPr>
        <w:rPr>
          <w:rFonts w:hint="eastAsia" w:ascii="方正仿宋_GBK" w:hAnsi="方正仿宋_GBK" w:eastAsia="方正仿宋_GBK" w:cs="方正仿宋_GBK"/>
          <w:sz w:val="32"/>
          <w:szCs w:val="32"/>
          <w:lang w:val="en-US" w:eastAsia="zh-CN"/>
        </w:rPr>
      </w:pPr>
    </w:p>
    <w:p>
      <w:pPr>
        <w:pStyle w:val="2"/>
        <w:rPr>
          <w:rFonts w:hint="eastAsia" w:ascii="方正仿宋_GBK" w:hAnsi="方正仿宋_GBK" w:eastAsia="方正仿宋_GBK" w:cs="方正仿宋_GBK"/>
          <w:sz w:val="32"/>
          <w:szCs w:val="32"/>
          <w:lang w:val="en-US" w:eastAsia="zh-CN"/>
        </w:rPr>
      </w:pPr>
    </w:p>
    <w:p>
      <w:pPr>
        <w:pStyle w:val="2"/>
        <w:rPr>
          <w:rFonts w:hint="eastAsia"/>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黑水县疾病预防控制中心</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宋体" w:cs="Times New Roman"/>
          <w:kern w:val="2"/>
          <w:sz w:val="21"/>
          <w:szCs w:val="24"/>
          <w:lang w:val="zh-CN" w:eastAsia="zh-CN" w:bidi="ar-SA"/>
        </w:rPr>
      </w:pPr>
      <w:r>
        <w:rPr>
          <w:rFonts w:hint="eastAsia" w:ascii="仿宋_GB2312" w:hAnsi="仿宋_GB2312" w:eastAsia="仿宋_GB2312" w:cs="仿宋_GB2312"/>
          <w:sz w:val="32"/>
          <w:szCs w:val="32"/>
          <w:lang w:val="en-US" w:eastAsia="zh-CN"/>
        </w:rPr>
        <w:t xml:space="preserve">                                2025年</w:t>
      </w:r>
      <w:r>
        <w:rPr>
          <w:rFonts w:hint="eastAsia" w:ascii="仿宋_GB2312" w:hAnsi="仿宋" w:eastAsia="仿宋_GB2312" w:cs="仿宋"/>
        </w:rPr>
        <w:drawing>
          <wp:anchor distT="0" distB="0" distL="114935" distR="114935" simplePos="0" relativeHeight="251660288" behindDoc="1" locked="0" layoutInCell="1" allowOverlap="1">
            <wp:simplePos x="0" y="0"/>
            <wp:positionH relativeFrom="column">
              <wp:posOffset>3784600</wp:posOffset>
            </wp:positionH>
            <wp:positionV relativeFrom="paragraph">
              <wp:posOffset>-736600</wp:posOffset>
            </wp:positionV>
            <wp:extent cx="1487805" cy="1458595"/>
            <wp:effectExtent l="202565" t="196850" r="205740" b="201295"/>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6"/>
                    <a:stretch>
                      <a:fillRect/>
                    </a:stretch>
                  </pic:blipFill>
                  <pic:spPr>
                    <a:xfrm rot="17340000">
                      <a:off x="0" y="0"/>
                      <a:ext cx="1487805" cy="1458595"/>
                    </a:xfrm>
                    <a:prstGeom prst="rect">
                      <a:avLst/>
                    </a:prstGeom>
                  </pic:spPr>
                </pic:pic>
              </a:graphicData>
            </a:graphic>
          </wp:anchor>
        </w:drawing>
      </w:r>
      <w:r>
        <w:rPr>
          <w:rFonts w:hint="eastAsia" w:ascii="仿宋_GB2312" w:hAnsi="仿宋_GB2312" w:eastAsia="仿宋_GB2312" w:cs="仿宋_GB2312"/>
          <w:sz w:val="32"/>
          <w:szCs w:val="32"/>
          <w:lang w:val="en-US" w:eastAsia="zh-CN"/>
        </w:rPr>
        <w:t>5月20日</w:t>
      </w:r>
    </w:p>
    <w:p>
      <w:pPr>
        <w:pStyle w:val="2"/>
        <w:pageBreakBefore w:val="0"/>
        <w:wordWrap/>
        <w:overflowPunct/>
        <w:topLinePunct w:val="0"/>
        <w:bidi w:val="0"/>
        <w:spacing w:line="560" w:lineRule="exact"/>
        <w:rPr>
          <w:rFonts w:hint="default" w:ascii="Times New Roman" w:hAnsi="Times New Roman" w:eastAsia="宋体" w:cs="Times New Roman"/>
          <w:kern w:val="2"/>
          <w:sz w:val="21"/>
          <w:szCs w:val="24"/>
          <w:lang w:val="zh-CN" w:eastAsia="zh-CN" w:bidi="ar-SA"/>
        </w:rPr>
      </w:pPr>
    </w:p>
    <w:p>
      <w:pPr>
        <w:rPr>
          <w:rFonts w:hint="default"/>
          <w:lang w:val="zh-CN" w:eastAsia="zh-CN"/>
        </w:rPr>
      </w:pPr>
    </w:p>
    <w:p>
      <w:pPr>
        <w:pStyle w:val="7"/>
        <w:keepNext w:val="0"/>
        <w:keepLines w:val="0"/>
        <w:pageBreakBefore w:val="0"/>
        <w:pBdr>
          <w:top w:val="single" w:color="auto" w:sz="4" w:space="1"/>
          <w:bottom w:val="single" w:color="auto" w:sz="4" w:space="1"/>
          <w:between w:val="single" w:color="auto" w:sz="4" w:space="1"/>
        </w:pBdr>
        <w:kinsoku/>
        <w:wordWrap/>
        <w:overflowPunct/>
        <w:topLinePunct w:val="0"/>
        <w:bidi w:val="0"/>
        <w:snapToGrid/>
        <w:spacing w:line="560" w:lineRule="exact"/>
        <w:ind w:firstLine="140" w:firstLineChars="50"/>
        <w:jc w:val="left"/>
        <w:rPr>
          <w:rFonts w:hint="eastAsia"/>
          <w:lang w:val="en-US" w:eastAsia="zh-CN"/>
        </w:rPr>
      </w:pPr>
      <w:r>
        <w:rPr>
          <w:rFonts w:hint="eastAsia" w:ascii="仿宋_GB2312" w:eastAsia="仿宋_GB2312"/>
          <w:sz w:val="28"/>
          <w:szCs w:val="28"/>
          <w:lang w:val="en-US" w:eastAsia="zh-CN"/>
        </w:rPr>
        <w:t>黑水县</w:t>
      </w:r>
      <w:r>
        <w:rPr>
          <w:rFonts w:hint="eastAsia" w:ascii="仿宋_GB2312" w:eastAsia="仿宋_GB2312"/>
          <w:sz w:val="28"/>
          <w:szCs w:val="28"/>
        </w:rPr>
        <w:t xml:space="preserve">疾病预防控制中心           </w:t>
      </w:r>
      <w:r>
        <w:rPr>
          <w:rFonts w:hint="eastAsia" w:ascii="仿宋_GB2312" w:eastAsia="仿宋_GB2312"/>
          <w:sz w:val="28"/>
          <w:szCs w:val="28"/>
          <w:lang w:val="en-US" w:eastAsia="zh-CN"/>
        </w:rPr>
        <w:t xml:space="preserve">          </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r>
        <w:rPr>
          <w:rFonts w:hint="eastAsia" w:ascii="仿宋_GB2312" w:eastAsia="仿宋_GB2312"/>
          <w:sz w:val="28"/>
          <w:szCs w:val="28"/>
          <w:lang w:val="en-US" w:eastAsia="zh-CN"/>
        </w:rPr>
        <w:t>20</w:t>
      </w:r>
      <w:r>
        <w:rPr>
          <w:rFonts w:hint="eastAsia" w:ascii="仿宋_GB2312" w:eastAsia="仿宋_GB2312"/>
          <w:sz w:val="28"/>
          <w:szCs w:val="28"/>
        </w:rPr>
        <w:t>日印</w:t>
      </w:r>
    </w:p>
    <w:sectPr>
      <w:footerReference r:id="rId3" w:type="even"/>
      <w:pgSz w:w="11907" w:h="17010"/>
      <w:pgMar w:top="2098" w:right="1474" w:bottom="1985" w:left="1588" w:header="851" w:footer="153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auto"/>
    <w:pitch w:val="default"/>
    <w:sig w:usb0="00000000" w:usb1="00000000"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AR PL UKai CN"/>
    <w:panose1 w:val="00000000000000000000"/>
    <w:charset w:val="00"/>
    <w:family w:val="roman"/>
    <w:pitch w:val="default"/>
    <w:sig w:usb0="00000000" w:usb1="00000000" w:usb2="00000000" w:usb3="00000000" w:csb0="00040001" w:csb1="00000000"/>
  </w:font>
  <w:font w:name="新宋体">
    <w:altName w:val="方正书宋_GBK"/>
    <w:panose1 w:val="02010609030101010101"/>
    <w:charset w:val="86"/>
    <w:family w:val="modern"/>
    <w:pitch w:val="default"/>
    <w:sig w:usb0="00000000" w:usb1="00000000" w:usb2="0000000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AR PL UKai CN">
    <w:panose1 w:val="02000503000000000000"/>
    <w:charset w:val="86"/>
    <w:family w:val="auto"/>
    <w:pitch w:val="default"/>
    <w:sig w:usb0="A00002FF" w:usb1="3ACFFDFF" w:usb2="00000036" w:usb3="00000000" w:csb0="2016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315" w:leftChars="150" w:right="315" w:rightChars="150"/>
      <w:jc w:val="both"/>
      <w:rPr>
        <w:rFonts w:ascii="宋体" w:hAnsi="宋体"/>
        <w:sz w:val="30"/>
        <w:szCs w:val="30"/>
      </w:rPr>
    </w:pPr>
    <w:r>
      <w:rPr>
        <w:rFonts w:hint="eastAsia" w:ascii="宋体" w:hAnsi="宋体"/>
        <w:sz w:val="30"/>
        <w:szCs w:val="30"/>
      </w:rPr>
      <w:t xml:space="preserve">― </w:t>
    </w:r>
    <w:r>
      <w:rPr>
        <w:rFonts w:hint="eastAsia" w:ascii="宋体" w:hAnsi="宋体"/>
        <w:sz w:val="30"/>
        <w:szCs w:val="30"/>
      </w:rPr>
      <w:fldChar w:fldCharType="begin"/>
    </w:r>
    <w:r>
      <w:rPr>
        <w:rFonts w:hint="eastAsia" w:ascii="宋体" w:hAnsi="宋体"/>
        <w:sz w:val="30"/>
        <w:szCs w:val="30"/>
      </w:rPr>
      <w:instrText xml:space="preserve"> PAGE </w:instrText>
    </w:r>
    <w:r>
      <w:rPr>
        <w:rFonts w:hint="eastAsia" w:ascii="宋体" w:hAnsi="宋体"/>
        <w:sz w:val="30"/>
        <w:szCs w:val="30"/>
      </w:rPr>
      <w:fldChar w:fldCharType="separate"/>
    </w:r>
    <w:r>
      <w:rPr>
        <w:rFonts w:ascii="宋体" w:hAnsi="宋体"/>
        <w:sz w:val="30"/>
        <w:szCs w:val="30"/>
      </w:rPr>
      <w:t>2</w:t>
    </w:r>
    <w:r>
      <w:rPr>
        <w:rFonts w:hint="eastAsia" w:ascii="宋体" w:hAnsi="宋体"/>
        <w:sz w:val="30"/>
        <w:szCs w:val="30"/>
      </w:rPr>
      <w:fldChar w:fldCharType="end"/>
    </w:r>
    <w:r>
      <w:rPr>
        <w:rFonts w:hint="eastAsia" w:ascii="宋体" w:hAnsi="宋体"/>
        <w:sz w:val="30"/>
        <w:szCs w:val="30"/>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attachedTemplate r:id="rId1"/>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3ZjRlNDcxMGM3ZTIwNjk2NTllYjNmMWUxZDQzYzIifQ=="/>
  </w:docVars>
  <w:rsids>
    <w:rsidRoot w:val="003E28AB"/>
    <w:rsid w:val="000313C5"/>
    <w:rsid w:val="0005691A"/>
    <w:rsid w:val="00060809"/>
    <w:rsid w:val="0008343D"/>
    <w:rsid w:val="000D2889"/>
    <w:rsid w:val="00121037"/>
    <w:rsid w:val="00130C2E"/>
    <w:rsid w:val="00132A4B"/>
    <w:rsid w:val="00134692"/>
    <w:rsid w:val="0019433E"/>
    <w:rsid w:val="001E3CA4"/>
    <w:rsid w:val="001E532D"/>
    <w:rsid w:val="002107D3"/>
    <w:rsid w:val="00263D4F"/>
    <w:rsid w:val="00267874"/>
    <w:rsid w:val="00276BF6"/>
    <w:rsid w:val="002A67C1"/>
    <w:rsid w:val="002B6B2C"/>
    <w:rsid w:val="002D2AEA"/>
    <w:rsid w:val="002E2950"/>
    <w:rsid w:val="00324ED7"/>
    <w:rsid w:val="00327512"/>
    <w:rsid w:val="00330B1D"/>
    <w:rsid w:val="00372878"/>
    <w:rsid w:val="003A255E"/>
    <w:rsid w:val="003B5246"/>
    <w:rsid w:val="003C4F6C"/>
    <w:rsid w:val="003C55B1"/>
    <w:rsid w:val="003D1848"/>
    <w:rsid w:val="003E28AB"/>
    <w:rsid w:val="003E59EA"/>
    <w:rsid w:val="004B3ED2"/>
    <w:rsid w:val="004C662B"/>
    <w:rsid w:val="00546FE8"/>
    <w:rsid w:val="0056277D"/>
    <w:rsid w:val="005705D6"/>
    <w:rsid w:val="0057571B"/>
    <w:rsid w:val="0059163B"/>
    <w:rsid w:val="005E16A6"/>
    <w:rsid w:val="00611264"/>
    <w:rsid w:val="006350DC"/>
    <w:rsid w:val="006617D0"/>
    <w:rsid w:val="006645A1"/>
    <w:rsid w:val="006B63E9"/>
    <w:rsid w:val="007238A1"/>
    <w:rsid w:val="007356DF"/>
    <w:rsid w:val="00742B93"/>
    <w:rsid w:val="00744A60"/>
    <w:rsid w:val="007C6C64"/>
    <w:rsid w:val="007D121D"/>
    <w:rsid w:val="007D4A33"/>
    <w:rsid w:val="007D4FF4"/>
    <w:rsid w:val="00822DFA"/>
    <w:rsid w:val="00845A67"/>
    <w:rsid w:val="00855491"/>
    <w:rsid w:val="008576FE"/>
    <w:rsid w:val="00863EFA"/>
    <w:rsid w:val="008839AF"/>
    <w:rsid w:val="00894AEA"/>
    <w:rsid w:val="008958EB"/>
    <w:rsid w:val="008A69DA"/>
    <w:rsid w:val="008E0B1E"/>
    <w:rsid w:val="008F4501"/>
    <w:rsid w:val="009146B1"/>
    <w:rsid w:val="00941FB6"/>
    <w:rsid w:val="00946217"/>
    <w:rsid w:val="009803E7"/>
    <w:rsid w:val="009A6C3C"/>
    <w:rsid w:val="009C2CB5"/>
    <w:rsid w:val="00A74311"/>
    <w:rsid w:val="00AB00B5"/>
    <w:rsid w:val="00AB69DB"/>
    <w:rsid w:val="00AD6146"/>
    <w:rsid w:val="00AE17C3"/>
    <w:rsid w:val="00AF2240"/>
    <w:rsid w:val="00B02D2B"/>
    <w:rsid w:val="00B647C3"/>
    <w:rsid w:val="00B87748"/>
    <w:rsid w:val="00BC5A72"/>
    <w:rsid w:val="00C65602"/>
    <w:rsid w:val="00C738DA"/>
    <w:rsid w:val="00CA48E6"/>
    <w:rsid w:val="00CC05BD"/>
    <w:rsid w:val="00D0743E"/>
    <w:rsid w:val="00D508B9"/>
    <w:rsid w:val="00DF4911"/>
    <w:rsid w:val="00E17DD5"/>
    <w:rsid w:val="00E30327"/>
    <w:rsid w:val="00E60171"/>
    <w:rsid w:val="00E64F86"/>
    <w:rsid w:val="00E83D19"/>
    <w:rsid w:val="00EA4C38"/>
    <w:rsid w:val="00EB1343"/>
    <w:rsid w:val="00EB7997"/>
    <w:rsid w:val="00F13FC9"/>
    <w:rsid w:val="00F449E2"/>
    <w:rsid w:val="00F7138E"/>
    <w:rsid w:val="00FB05B4"/>
    <w:rsid w:val="00FF0EED"/>
    <w:rsid w:val="02402EC0"/>
    <w:rsid w:val="02B2797C"/>
    <w:rsid w:val="05524952"/>
    <w:rsid w:val="06E445EA"/>
    <w:rsid w:val="07A735CC"/>
    <w:rsid w:val="0BA614B9"/>
    <w:rsid w:val="14F13869"/>
    <w:rsid w:val="18AB1A03"/>
    <w:rsid w:val="1BB9554D"/>
    <w:rsid w:val="204B6033"/>
    <w:rsid w:val="236B0C61"/>
    <w:rsid w:val="25B03DE2"/>
    <w:rsid w:val="295A7167"/>
    <w:rsid w:val="318C4BC4"/>
    <w:rsid w:val="33664FA1"/>
    <w:rsid w:val="45015701"/>
    <w:rsid w:val="47DB040C"/>
    <w:rsid w:val="495B3342"/>
    <w:rsid w:val="49620FF1"/>
    <w:rsid w:val="4AD22143"/>
    <w:rsid w:val="4F2D1A89"/>
    <w:rsid w:val="53B62910"/>
    <w:rsid w:val="55BA5C3A"/>
    <w:rsid w:val="56D243BF"/>
    <w:rsid w:val="5835551B"/>
    <w:rsid w:val="6AC00E5F"/>
    <w:rsid w:val="72BF1FCE"/>
    <w:rsid w:val="74367B7D"/>
    <w:rsid w:val="754077FF"/>
    <w:rsid w:val="7AB27FC7"/>
    <w:rsid w:val="A77C8938"/>
    <w:rsid w:val="DF7762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4"/>
    <w:basedOn w:val="1"/>
    <w:next w:val="1"/>
    <w:unhideWhenUsed/>
    <w:qFormat/>
    <w:uiPriority w:val="9"/>
    <w:pPr>
      <w:keepNext/>
      <w:keepLines/>
      <w:jc w:val="left"/>
      <w:outlineLvl w:val="3"/>
    </w:pPr>
    <w:rPr>
      <w:rFonts w:asciiTheme="majorHAnsi" w:hAnsiTheme="majorHAnsi" w:cstheme="majorBidi"/>
      <w:bCs/>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qFormat/>
    <w:uiPriority w:val="0"/>
    <w:pPr>
      <w:ind w:firstLine="4680" w:firstLineChars="1300"/>
    </w:pPr>
    <w:rPr>
      <w:rFonts w:eastAsia="仿宋_GB2312"/>
      <w:b/>
      <w:bCs/>
      <w:sz w:val="36"/>
    </w:rPr>
  </w:style>
  <w:style w:type="paragraph" w:styleId="7">
    <w:name w:val="Plain Text"/>
    <w:basedOn w:val="1"/>
    <w:qFormat/>
    <w:uiPriority w:val="0"/>
    <w:pPr>
      <w:widowControl w:val="0"/>
      <w:jc w:val="both"/>
    </w:pPr>
    <w:rPr>
      <w:rFonts w:hAnsi="Courier New" w:cs="Courier New"/>
      <w:kern w:val="2"/>
      <w:sz w:val="21"/>
      <w:szCs w:val="21"/>
    </w:rPr>
  </w:style>
  <w:style w:type="paragraph" w:styleId="8">
    <w:name w:val="Date"/>
    <w:basedOn w:val="1"/>
    <w:next w:val="1"/>
    <w:qFormat/>
    <w:uiPriority w:val="0"/>
  </w:style>
  <w:style w:type="paragraph" w:styleId="9">
    <w:name w:val="Body Text Indent 2"/>
    <w:basedOn w:val="1"/>
    <w:qFormat/>
    <w:uiPriority w:val="0"/>
    <w:pPr>
      <w:spacing w:before="240"/>
      <w:ind w:firstLine="720" w:firstLineChars="225"/>
    </w:pPr>
    <w:rPr>
      <w:rFonts w:ascii="仿宋_GB2312" w:eastAsia="仿宋_GB2312"/>
      <w:sz w:val="32"/>
      <w:szCs w:val="32"/>
    </w:rPr>
  </w:style>
  <w:style w:type="paragraph" w:styleId="10">
    <w:name w:val="Balloon Text"/>
    <w:basedOn w:val="1"/>
    <w:link w:val="21"/>
    <w:semiHidden/>
    <w:unhideWhenUsed/>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640" w:firstLineChars="200"/>
    </w:pPr>
    <w:rPr>
      <w:rFonts w:ascii="仿宋_GB2312" w:eastAsia="仿宋_GB2312"/>
      <w:sz w:val="32"/>
    </w:rPr>
  </w:style>
  <w:style w:type="paragraph" w:styleId="14">
    <w:name w:val="table of figures"/>
    <w:basedOn w:val="1"/>
    <w:next w:val="1"/>
    <w:unhideWhenUsed/>
    <w:qFormat/>
    <w:uiPriority w:val="99"/>
    <w:pPr>
      <w:ind w:left="200" w:leftChars="200" w:hanging="200" w:hangingChars="200"/>
    </w:pPr>
  </w:style>
  <w:style w:type="paragraph" w:styleId="15">
    <w:name w:val="Body Text First Indent 2"/>
    <w:basedOn w:val="6"/>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basedOn w:val="18"/>
    <w:qFormat/>
    <w:uiPriority w:val="0"/>
    <w:rPr>
      <w:color w:val="0000FF"/>
      <w:u w:val="single"/>
    </w:rPr>
  </w:style>
  <w:style w:type="character" w:customStyle="1" w:styleId="21">
    <w:name w:val="批注框文本 Char"/>
    <w:basedOn w:val="18"/>
    <w:link w:val="10"/>
    <w:semiHidden/>
    <w:qFormat/>
    <w:uiPriority w:val="0"/>
    <w:rPr>
      <w:kern w:val="2"/>
      <w:sz w:val="18"/>
      <w:szCs w:val="18"/>
    </w:rPr>
  </w:style>
  <w:style w:type="paragraph" w:customStyle="1" w:styleId="22">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lenovo\Desktop\&#26032;&#24314;&#25991;&#20214;&#22841;%20(3)\2024&#24180;&#24029;&#30142;&#21457;&#65288;&#24179;&#34892;&#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2024年川疾发（平行）.dot</Template>
  <Pages>8</Pages>
  <Words>4810</Words>
  <Characters>5168</Characters>
  <Lines>46</Lines>
  <Paragraphs>13</Paragraphs>
  <TotalTime>1</TotalTime>
  <ScaleCrop>false</ScaleCrop>
  <LinksUpToDate>false</LinksUpToDate>
  <CharactersWithSpaces>5295</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2024-03-28T10:01:00Z</dcterms:created>
  <dc:creator>梁传惠</dc:creator>
  <cp:lastModifiedBy>user</cp:lastModifiedBy>
  <cp:lastPrinted>2024-12-27T11:39:00Z</cp:lastPrinted>
  <dcterms:modified xsi:type="dcterms:W3CDTF">2025-08-28T11:47:57Z</dcterms:modified>
  <dc:title>关于建立西南疾病预防控制培训基地的报告</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EE4670E0B86C4D5CB92A2673D7F4FC8B_13</vt:lpwstr>
  </property>
  <property fmtid="{D5CDD505-2E9C-101B-9397-08002B2CF9AE}" pid="4" name="KSOTemplateDocerSaveRecord">
    <vt:lpwstr>eyJoZGlkIjoiNGZkZDlkNjg5NWVkNWU2ZDNmZGZjYjczNjZmMTIwMmYiLCJ1c2VySWQiOiIzMjY5NjEzMjEifQ==</vt:lpwstr>
  </property>
</Properties>
</file>