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40"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drawing>
          <wp:anchor distT="0" distB="0" distL="114300" distR="114300" simplePos="0" relativeHeight="251659264" behindDoc="1" locked="0" layoutInCell="1" allowOverlap="1">
            <wp:simplePos x="0" y="0"/>
            <wp:positionH relativeFrom="column">
              <wp:posOffset>-66675</wp:posOffset>
            </wp:positionH>
            <wp:positionV relativeFrom="paragraph">
              <wp:posOffset>431165</wp:posOffset>
            </wp:positionV>
            <wp:extent cx="5604510" cy="2792730"/>
            <wp:effectExtent l="0" t="0" r="15240" b="7620"/>
            <wp:wrapNone/>
            <wp:docPr id="1" name="图片 2" descr="红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红头"/>
                    <pic:cNvPicPr>
                      <a:picLocks noChangeAspect="1"/>
                    </pic:cNvPicPr>
                  </pic:nvPicPr>
                  <pic:blipFill>
                    <a:blip r:embed="rId5"/>
                    <a:stretch>
                      <a:fillRect/>
                    </a:stretch>
                  </pic:blipFill>
                  <pic:spPr>
                    <a:xfrm>
                      <a:off x="0" y="0"/>
                      <a:ext cx="5604510" cy="2792730"/>
                    </a:xfrm>
                    <a:prstGeom prst="rect">
                      <a:avLst/>
                    </a:prstGeom>
                    <a:noFill/>
                    <a:ln>
                      <a:noFill/>
                    </a:ln>
                  </pic:spPr>
                </pic:pic>
              </a:graphicData>
            </a:graphic>
          </wp:anchor>
        </w:drawing>
      </w:r>
    </w:p>
    <w:p>
      <w:pPr>
        <w:spacing w:before="240" w:line="560" w:lineRule="exact"/>
        <w:rPr>
          <w:rFonts w:hint="eastAsia" w:ascii="仿宋_GB2312" w:hAnsi="仿宋_GB2312" w:eastAsia="仿宋_GB2312" w:cs="仿宋_GB2312"/>
          <w:sz w:val="32"/>
          <w:szCs w:val="32"/>
        </w:rPr>
      </w:pPr>
    </w:p>
    <w:p>
      <w:pPr>
        <w:spacing w:before="240" w:line="560" w:lineRule="exact"/>
        <w:rPr>
          <w:rFonts w:hint="eastAsia" w:ascii="仿宋_GB2312" w:hAnsi="仿宋_GB2312" w:eastAsia="仿宋_GB2312" w:cs="仿宋_GB2312"/>
          <w:sz w:val="32"/>
          <w:szCs w:val="32"/>
        </w:rPr>
      </w:pPr>
    </w:p>
    <w:p>
      <w:pPr>
        <w:spacing w:before="240" w:line="240" w:lineRule="auto"/>
        <w:rPr>
          <w:rFonts w:hint="eastAsia" w:ascii="仿宋_GB2312" w:hAnsi="仿宋_GB2312" w:eastAsia="仿宋_GB2312" w:cs="仿宋_GB2312"/>
          <w:sz w:val="32"/>
          <w:szCs w:val="32"/>
          <w:lang w:eastAsia="zh-CN"/>
        </w:rPr>
      </w:pPr>
    </w:p>
    <w:p>
      <w:pPr>
        <w:spacing w:before="240" w:line="560" w:lineRule="exact"/>
        <w:rPr>
          <w:rFonts w:hint="eastAsia" w:ascii="仿宋_GB2312" w:hAnsi="仿宋_GB2312" w:eastAsia="仿宋_GB2312" w:cs="仿宋_GB2312"/>
          <w:sz w:val="32"/>
          <w:szCs w:val="32"/>
        </w:rPr>
      </w:pPr>
    </w:p>
    <w:p>
      <w:pPr>
        <w:spacing w:before="240" w:line="560" w:lineRule="exact"/>
        <w:ind w:firstLine="2880" w:firstLineChars="900"/>
        <w:jc w:val="both"/>
        <w:rPr>
          <w:rFonts w:hint="default" w:ascii="新宋体" w:hAnsi="新宋体" w:eastAsia="仿宋_GB2312"/>
          <w:b/>
          <w:szCs w:val="21"/>
          <w:lang w:val="en-US" w:eastAsia="zh-CN"/>
        </w:rPr>
      </w:pPr>
      <w:r>
        <w:rPr>
          <w:rFonts w:hint="eastAsia" w:ascii="仿宋_GB2312" w:hAnsi="仿宋_GB2312" w:eastAsia="仿宋_GB2312" w:cs="仿宋_GB2312"/>
          <w:sz w:val="32"/>
          <w:szCs w:val="32"/>
        </w:rPr>
        <w:t>黑疾控</w:t>
      </w:r>
      <w:r>
        <w:rPr>
          <w:rFonts w:hint="eastAsia" w:ascii="仿宋_GB2312" w:hAnsi="华文中宋" w:eastAsia="仿宋_GB2312"/>
          <w:sz w:val="32"/>
        </w:rPr>
        <w:t>〔</w:t>
      </w:r>
      <w:r>
        <w:rPr>
          <w:rFonts w:hint="eastAsia" w:ascii="仿宋_GB2312" w:hAnsi="华文中宋" w:eastAsia="仿宋_GB2312"/>
          <w:sz w:val="32"/>
          <w:lang w:val="en-US" w:eastAsia="zh-CN"/>
        </w:rPr>
        <w:t>2025</w:t>
      </w:r>
      <w:r>
        <w:rPr>
          <w:rFonts w:ascii="仿宋_GB2312" w:hAnsi="华文中宋" w:eastAsia="仿宋_GB2312"/>
          <w:sz w:val="32"/>
        </w:rPr>
        <w:t>〕</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号</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黑水县疾病预防控制中心</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基本公共卫生服务专项预算项目</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绩效评价报告</w:t>
      </w:r>
    </w:p>
    <w:p>
      <w:pPr>
        <w:keepNext w:val="0"/>
        <w:keepLines w:val="0"/>
        <w:pageBreakBefore w:val="0"/>
        <w:widowControl/>
        <w:kinsoku/>
        <w:wordWrap/>
        <w:overflowPunct/>
        <w:topLinePunct w:val="0"/>
        <w:autoSpaceDE/>
        <w:autoSpaceDN/>
        <w:bidi w:val="0"/>
        <w:spacing w:line="560" w:lineRule="exact"/>
        <w:ind w:firstLine="883" w:firstLineChars="200"/>
        <w:contextualSpacing/>
        <w:jc w:val="center"/>
        <w:textAlignment w:val="auto"/>
        <w:outlineLvl w:val="9"/>
        <w:rPr>
          <w:rFonts w:hint="eastAsia" w:ascii="方正小标宋_GBK" w:hAnsi="方正小标宋_GBK" w:eastAsia="方正小标宋_GBK" w:cs="方正小标宋_GBK"/>
          <w:b/>
          <w:bCs w:val="0"/>
          <w:sz w:val="44"/>
          <w:szCs w:val="44"/>
          <w:highlight w:val="none"/>
          <w:shd w:val="clear" w:color="auto" w:fill="FFFFFF"/>
          <w:lang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小标宋_GBK" w:hAnsi="方正小标宋_GBK" w:eastAsia="方正小标宋_GBK" w:cs="方正小标宋_GBK"/>
          <w:sz w:val="32"/>
          <w:szCs w:val="32"/>
          <w:highlight w:val="none"/>
          <w:lang w:val="zh-CN"/>
        </w:rPr>
      </w:pPr>
      <w:r>
        <w:rPr>
          <w:rFonts w:hint="eastAsia" w:ascii="方正小标宋_GBK" w:hAnsi="方正小标宋_GBK" w:eastAsia="方正小标宋_GBK" w:cs="方正小标宋_GBK"/>
          <w:sz w:val="32"/>
          <w:szCs w:val="32"/>
          <w:highlight w:val="none"/>
        </w:rPr>
        <w:t>一、</w:t>
      </w:r>
      <w:r>
        <w:rPr>
          <w:rFonts w:hint="eastAsia" w:ascii="方正小标宋_GBK" w:hAnsi="方正小标宋_GBK" w:eastAsia="方正小标宋_GBK" w:cs="方正小标宋_GBK"/>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keepNext w:val="0"/>
        <w:keepLines w:val="0"/>
        <w:pageBreakBefore w:val="0"/>
        <w:widowControl/>
        <w:suppressLineNumbers w:val="0"/>
        <w:kinsoku/>
        <w:wordWrap/>
        <w:overflowPunct/>
        <w:topLinePunct w:val="0"/>
        <w:autoSpaceDE/>
        <w:autoSpaceDN/>
        <w:bidi w:val="0"/>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2</w:t>
      </w:r>
      <w:r>
        <w:rPr>
          <w:rFonts w:hint="eastAsia" w:ascii="仿宋_GB2312" w:cs="Times New Roman"/>
          <w:sz w:val="32"/>
          <w:szCs w:val="32"/>
          <w:lang w:val="en-US" w:eastAsia="zh-CN"/>
        </w:rPr>
        <w:t>024</w:t>
      </w:r>
      <w:r>
        <w:rPr>
          <w:rFonts w:hint="eastAsia" w:ascii="仿宋_GB2312" w:hAnsi="Times New Roman" w:eastAsia="仿宋_GB2312" w:cs="Times New Roman"/>
          <w:sz w:val="32"/>
          <w:szCs w:val="32"/>
          <w:lang w:val="en-US" w:eastAsia="zh-CN"/>
        </w:rPr>
        <w:t>年度下达我中心基本公共卫生服务中央补助资金共计</w:t>
      </w:r>
      <w:r>
        <w:rPr>
          <w:rFonts w:hint="eastAsia" w:ascii="仿宋_GB2312" w:cs="Times New Roman"/>
          <w:sz w:val="32"/>
          <w:szCs w:val="32"/>
          <w:lang w:val="en-US" w:eastAsia="zh-CN"/>
        </w:rPr>
        <w:t>60.97</w:t>
      </w:r>
      <w:r>
        <w:rPr>
          <w:rFonts w:hint="eastAsia" w:ascii="仿宋_GB2312" w:hAnsi="Times New Roman" w:eastAsia="仿宋_GB2312" w:cs="Times New Roman"/>
          <w:sz w:val="32"/>
          <w:szCs w:val="32"/>
          <w:lang w:val="en-US" w:eastAsia="zh-CN"/>
        </w:rPr>
        <w:t>万元。其中，阿州财社（</w:t>
      </w:r>
      <w:r>
        <w:rPr>
          <w:rFonts w:hint="eastAsia" w:ascii="仿宋_GB2312" w:cs="Times New Roman"/>
          <w:sz w:val="32"/>
          <w:szCs w:val="32"/>
          <w:lang w:val="en-US" w:eastAsia="zh-CN"/>
        </w:rPr>
        <w:t>2024</w:t>
      </w:r>
      <w:r>
        <w:rPr>
          <w:rFonts w:hint="eastAsia" w:ascii="仿宋_GB2312" w:hAnsi="Times New Roman" w:eastAsia="仿宋_GB2312" w:cs="Times New Roman"/>
          <w:sz w:val="32"/>
          <w:szCs w:val="32"/>
          <w:lang w:val="en-US" w:eastAsia="zh-CN"/>
        </w:rPr>
        <w:t>）</w:t>
      </w:r>
      <w:r>
        <w:rPr>
          <w:rFonts w:hint="eastAsia" w:ascii="仿宋_GB2312" w:cs="Times New Roman"/>
          <w:sz w:val="32"/>
          <w:szCs w:val="32"/>
          <w:lang w:val="en-US" w:eastAsia="zh-CN"/>
        </w:rPr>
        <w:t>36</w:t>
      </w:r>
      <w:r>
        <w:rPr>
          <w:rFonts w:hint="eastAsia" w:ascii="仿宋_GB2312" w:hAnsi="Times New Roman" w:eastAsia="仿宋_GB2312" w:cs="Times New Roman"/>
          <w:sz w:val="32"/>
          <w:szCs w:val="32"/>
          <w:lang w:val="en-US" w:eastAsia="zh-CN"/>
        </w:rPr>
        <w:t>号中央直达资金</w:t>
      </w:r>
      <w:r>
        <w:rPr>
          <w:rFonts w:hint="eastAsia" w:ascii="仿宋_GB2312" w:cs="Times New Roman"/>
          <w:sz w:val="32"/>
          <w:szCs w:val="32"/>
          <w:lang w:val="en-US" w:eastAsia="zh-CN"/>
        </w:rPr>
        <w:t>60.97</w:t>
      </w:r>
      <w:r>
        <w:rPr>
          <w:rFonts w:hint="eastAsia" w:ascii="仿宋_GB2312" w:hAnsi="Times New Roman" w:eastAsia="仿宋_GB2312" w:cs="Times New Roman"/>
          <w:sz w:val="32"/>
          <w:szCs w:val="32"/>
          <w:lang w:val="en-US" w:eastAsia="zh-CN"/>
        </w:rPr>
        <w:t>万元；</w:t>
      </w:r>
    </w:p>
    <w:p>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2" w:firstLineChars="200"/>
        <w:textAlignment w:val="auto"/>
        <w:rPr>
          <w:rFonts w:hint="default"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实施目的：</w:t>
      </w:r>
      <w:r>
        <w:rPr>
          <w:rFonts w:hint="eastAsia" w:ascii="仿宋_GB2312" w:hAnsi="仿宋_GB2312" w:eastAsia="仿宋_GB2312" w:cs="仿宋_GB2312"/>
          <w:sz w:val="32"/>
          <w:szCs w:val="32"/>
          <w:lang w:val="en-US" w:eastAsia="zh-CN"/>
        </w:rPr>
        <w:t>加强重点地方病防治监测体系建设，继续开展全覆盖监测，评价防治效果。强化病人救治，科学开展地方病病人对症治疗。加强地方病防治宣传教育，引导群众形成健康的生产生活方式，提高群众防病意识，有效减少地方病发生。</w:t>
      </w:r>
    </w:p>
    <w:p>
      <w:pPr>
        <w:pStyle w:val="5"/>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sz w:val="32"/>
          <w:szCs w:val="32"/>
          <w:lang w:val="en-US" w:eastAsia="zh-CN"/>
        </w:rPr>
        <w:t>下达资金情况：2024年度中央对我中心转移支付基本公共卫生服务补助资金共计60.97万元。其中：大骨节病病人治疗经费23.4万元，大骨节病监测经费3万元，大骨节病健康管理与随访经费1.07万元，饮茶型氟中毒监测经费4万元，饮茶型地氟病健康教育经费2.5万元，碘缺乏病监测经费5万元，重点人群碘缺乏病监测3.5万元，社会动员经费1万元，基本公卫经费15万元，健康素养经费2.5万元。</w:t>
      </w:r>
    </w:p>
    <w:p>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_GB2312" w:hAnsi="楷体_GB2312" w:eastAsia="楷体_GB2312" w:cs="楷体_GB2312"/>
          <w:b/>
          <w:color w:val="auto"/>
          <w:sz w:val="32"/>
          <w:szCs w:val="32"/>
          <w:highlight w:val="none"/>
          <w:u w:val="none"/>
          <w:lang w:val="en-US" w:eastAsia="zh-CN"/>
        </w:rPr>
      </w:pPr>
      <w:r>
        <w:rPr>
          <w:rFonts w:hint="eastAsia" w:ascii="楷体_GB2312" w:hAnsi="楷体_GB2312" w:eastAsia="楷体_GB2312" w:cs="楷体_GB2312"/>
          <w:b/>
          <w:color w:val="auto"/>
          <w:sz w:val="32"/>
          <w:szCs w:val="32"/>
          <w:highlight w:val="none"/>
          <w:u w:val="none"/>
          <w:lang w:val="en-US" w:eastAsia="zh-CN"/>
        </w:rPr>
        <w:t>预算安排及分配管理</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资金下达依据：</w:t>
      </w:r>
      <w:r>
        <w:rPr>
          <w:rStyle w:val="18"/>
          <w:rFonts w:hint="eastAsia" w:ascii="仿宋_GB2312" w:hAnsi="仿宋_GB2312" w:eastAsia="仿宋_GB2312" w:cs="仿宋_GB2312"/>
          <w:sz w:val="32"/>
          <w:szCs w:val="32"/>
        </w:rPr>
        <w:t>《四川省财政厅、省卫生健康委关于提前下达 2024 年基本公共卫生服务中央和省级补助资金的通知》(川财社〔2023〕179号)、《阿坝州财政局 阿坝州卫健委关于提前下达2024年基本公共卫生服务中央和省级补助资金的通知》(阿州财社〔2024〕36号）等资金文件，2024年我中心下达基本公共卫生服务中央补助资金60.97万元。</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项目开展实施方案依据:阿坝州卫生健康委员会关于印发《阿坝州 2024年中央财政补助艾滋病等 重大传染病和地方病防治项目第一批资金 实施方案》的通知（阿州卫健发〔2024〕25号）</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 xml:space="preserve">           </w:t>
      </w:r>
      <w:r>
        <w:rPr>
          <w:rFonts w:hint="eastAsia" w:ascii="仿宋_GB2312" w:hAnsi="仿宋_GB2312" w:cs="仿宋_GB2312"/>
          <w:color w:val="auto"/>
          <w:kern w:val="0"/>
          <w:sz w:val="32"/>
          <w:szCs w:val="32"/>
          <w:highlight w:val="none"/>
          <w:u w:val="none"/>
          <w:shd w:val="clear" w:color="auto" w:fill="FFFFFF"/>
          <w:lang w:val="en-US" w:eastAsia="zh-CN"/>
        </w:rPr>
        <w:t xml:space="preserve">      </w:t>
      </w:r>
    </w:p>
    <w:p>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2024年度，我中心下达重点地方病防治资金共计60.97万元，截至2024年12月31日，完成资金列支资金共计60.97万元，资金执行率达100%。</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数量指标：</w:t>
      </w:r>
      <w:r>
        <w:rPr>
          <w:rStyle w:val="18"/>
          <w:rFonts w:hint="eastAsia" w:ascii="仿宋_GB2312" w:hAnsi="仿宋_GB2312" w:eastAsia="仿宋_GB2312" w:cs="仿宋_GB2312"/>
          <w:color w:val="auto"/>
          <w:sz w:val="32"/>
          <w:szCs w:val="32"/>
        </w:rPr>
        <w:t>大骨节病病人治疗任务数130人</w:t>
      </w:r>
      <w:r>
        <w:rPr>
          <w:rFonts w:hint="eastAsia" w:ascii="仿宋_GB2312" w:hAnsi="仿宋_GB2312" w:eastAsia="仿宋_GB2312" w:cs="仿宋_GB2312"/>
          <w:color w:val="auto"/>
          <w:sz w:val="32"/>
          <w:szCs w:val="32"/>
          <w:lang w:val="en-US" w:eastAsia="zh-CN"/>
        </w:rPr>
        <w:t>；</w:t>
      </w:r>
      <w:r>
        <w:rPr>
          <w:rStyle w:val="18"/>
          <w:rFonts w:hint="eastAsia" w:ascii="仿宋_GB2312" w:hAnsi="仿宋_GB2312" w:eastAsia="仿宋_GB2312" w:cs="仿宋_GB2312"/>
          <w:color w:val="auto"/>
          <w:sz w:val="32"/>
          <w:szCs w:val="32"/>
        </w:rPr>
        <w:t>碘缺乏病尿碘检测600份</w:t>
      </w:r>
      <w:r>
        <w:rPr>
          <w:rFonts w:hint="eastAsia" w:ascii="仿宋_GB2312" w:hAnsi="仿宋_GB2312" w:eastAsia="仿宋_GB2312" w:cs="仿宋_GB2312"/>
          <w:color w:val="auto"/>
          <w:sz w:val="32"/>
          <w:szCs w:val="32"/>
          <w:lang w:val="en-US" w:eastAsia="zh-CN"/>
        </w:rPr>
        <w:t>；</w:t>
      </w:r>
      <w:r>
        <w:rPr>
          <w:rStyle w:val="18"/>
          <w:rFonts w:hint="eastAsia" w:ascii="仿宋_GB2312" w:hAnsi="仿宋_GB2312" w:eastAsia="仿宋_GB2312" w:cs="仿宋_GB2312"/>
          <w:color w:val="auto"/>
          <w:sz w:val="32"/>
          <w:szCs w:val="32"/>
        </w:rPr>
        <w:t>碘缺乏病盐碘检测568份</w:t>
      </w:r>
      <w:r>
        <w:rPr>
          <w:rFonts w:hint="eastAsia" w:ascii="仿宋_GB2312" w:hAnsi="仿宋_GB2312" w:eastAsia="仿宋_GB2312" w:cs="仿宋_GB2312"/>
          <w:color w:val="auto"/>
          <w:sz w:val="32"/>
          <w:szCs w:val="32"/>
          <w:lang w:val="en-US" w:eastAsia="zh-CN"/>
        </w:rPr>
        <w:t>；</w:t>
      </w:r>
      <w:r>
        <w:rPr>
          <w:rStyle w:val="18"/>
          <w:rFonts w:hint="eastAsia" w:ascii="仿宋_GB2312" w:hAnsi="仿宋_GB2312" w:eastAsia="仿宋_GB2312" w:cs="仿宋_GB2312"/>
          <w:color w:val="auto"/>
          <w:sz w:val="32"/>
          <w:szCs w:val="32"/>
        </w:rPr>
        <w:t>碘缺乏病水碘检测10份</w:t>
      </w:r>
      <w:r>
        <w:rPr>
          <w:rFonts w:hint="eastAsia" w:ascii="仿宋_GB2312" w:hAnsi="仿宋_GB2312" w:eastAsia="仿宋_GB2312" w:cs="仿宋_GB2312"/>
          <w:color w:val="auto"/>
          <w:sz w:val="32"/>
          <w:szCs w:val="32"/>
          <w:lang w:val="en-US" w:eastAsia="zh-CN"/>
        </w:rPr>
        <w:t>；</w:t>
      </w:r>
      <w:r>
        <w:rPr>
          <w:rStyle w:val="18"/>
          <w:rFonts w:hint="eastAsia" w:ascii="仿宋_GB2312" w:hAnsi="仿宋_GB2312" w:eastAsia="仿宋_GB2312" w:cs="仿宋_GB2312"/>
          <w:color w:val="auto"/>
          <w:sz w:val="32"/>
          <w:szCs w:val="32"/>
        </w:rPr>
        <w:t>寺庙僧人健康教育2所</w:t>
      </w:r>
      <w:r>
        <w:rPr>
          <w:rFonts w:hint="eastAsia" w:ascii="仿宋_GB2312" w:hAnsi="仿宋_GB2312" w:eastAsia="仿宋_GB2312" w:cs="仿宋_GB2312"/>
          <w:color w:val="auto"/>
          <w:sz w:val="32"/>
          <w:szCs w:val="32"/>
          <w:lang w:val="en-US" w:eastAsia="zh-CN"/>
        </w:rPr>
        <w:t>。</w:t>
      </w:r>
    </w:p>
    <w:p>
      <w:pPr>
        <w:pStyle w:val="14"/>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质量指标：</w:t>
      </w:r>
      <w:r>
        <w:rPr>
          <w:rStyle w:val="18"/>
          <w:rFonts w:hint="eastAsia" w:ascii="仿宋_GB2312" w:hAnsi="仿宋_GB2312" w:eastAsia="仿宋_GB2312" w:cs="仿宋_GB2312"/>
          <w:color w:val="auto"/>
          <w:sz w:val="32"/>
          <w:szCs w:val="32"/>
        </w:rPr>
        <w:t>提高病区群众地方病防治知识治疗率</w:t>
      </w:r>
      <w:r>
        <w:rPr>
          <w:rStyle w:val="18"/>
          <w:rFonts w:hint="eastAsia" w:ascii="仿宋_GB2312" w:hAnsi="仿宋_GB2312" w:eastAsia="仿宋_GB2312" w:cs="仿宋_GB2312"/>
          <w:color w:val="auto"/>
          <w:sz w:val="32"/>
          <w:szCs w:val="32"/>
          <w:lang w:eastAsia="zh-CN"/>
        </w:rPr>
        <w:t>；</w:t>
      </w:r>
      <w:r>
        <w:rPr>
          <w:rStyle w:val="18"/>
          <w:rFonts w:hint="eastAsia" w:ascii="仿宋_GB2312" w:hAnsi="仿宋_GB2312" w:eastAsia="仿宋_GB2312" w:cs="仿宋_GB2312"/>
          <w:color w:val="auto"/>
          <w:sz w:val="32"/>
          <w:szCs w:val="32"/>
        </w:rPr>
        <w:t>饮茶型地氟病防治知晓率≥80%</w:t>
      </w:r>
      <w:r>
        <w:rPr>
          <w:rStyle w:val="18"/>
          <w:rFonts w:hint="eastAsia" w:ascii="仿宋_GB2312" w:hAnsi="仿宋_GB2312" w:eastAsia="仿宋_GB2312" w:cs="仿宋_GB2312"/>
          <w:color w:val="auto"/>
          <w:sz w:val="32"/>
          <w:szCs w:val="32"/>
          <w:lang w:eastAsia="zh-CN"/>
        </w:rPr>
        <w:t>；</w:t>
      </w:r>
      <w:r>
        <w:rPr>
          <w:rStyle w:val="18"/>
          <w:rFonts w:hint="eastAsia" w:ascii="仿宋_GB2312" w:hAnsi="仿宋_GB2312" w:eastAsia="仿宋_GB2312" w:cs="仿宋_GB2312"/>
          <w:color w:val="auto"/>
          <w:sz w:val="32"/>
          <w:szCs w:val="32"/>
        </w:rPr>
        <w:t>病区监测村25周岁以上人员饮茶型氟中毒监测率≥90%</w:t>
      </w:r>
      <w:r>
        <w:rPr>
          <w:rStyle w:val="18"/>
          <w:rFonts w:hint="eastAsia" w:ascii="仿宋_GB2312" w:hAnsi="仿宋_GB2312" w:eastAsia="仿宋_GB2312" w:cs="仿宋_GB2312"/>
          <w:color w:val="auto"/>
          <w:sz w:val="32"/>
          <w:szCs w:val="32"/>
          <w:lang w:eastAsia="zh-CN"/>
        </w:rPr>
        <w:t>；</w:t>
      </w:r>
      <w:r>
        <w:rPr>
          <w:rStyle w:val="18"/>
          <w:rFonts w:hint="eastAsia" w:ascii="仿宋_GB2312" w:hAnsi="仿宋_GB2312" w:eastAsia="仿宋_GB2312" w:cs="仿宋_GB2312"/>
          <w:color w:val="auto"/>
          <w:sz w:val="32"/>
          <w:szCs w:val="32"/>
        </w:rPr>
        <w:t>病区监测村8-12周岁儿童氟斑牙监测率≥90%</w:t>
      </w:r>
      <w:r>
        <w:rPr>
          <w:rFonts w:hint="eastAsia" w:ascii="仿宋_GB2312" w:hAnsi="仿宋_GB2312" w:eastAsia="仿宋_GB2312" w:cs="仿宋_GB2312"/>
          <w:color w:val="auto"/>
          <w:sz w:val="32"/>
          <w:szCs w:val="32"/>
          <w:lang w:val="en-US" w:eastAsia="zh-CN"/>
        </w:rPr>
        <w:t>。</w:t>
      </w:r>
    </w:p>
    <w:p>
      <w:pPr>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社会效益指标：不断缩小城乡居民公共卫生差距。</w:t>
      </w:r>
    </w:p>
    <w:p>
      <w:pPr>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时效指标：在2024年底前完成了目标任务。</w:t>
      </w:r>
    </w:p>
    <w:p>
      <w:pPr>
        <w:pStyle w:val="14"/>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成本指标：项目成本控制率达100%。</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rPr>
        <w:t>二、</w:t>
      </w:r>
      <w:r>
        <w:rPr>
          <w:rFonts w:hint="eastAsia" w:ascii="黑体" w:hAnsi="黑体" w:eastAsia="黑体" w:cs="黑体"/>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eastAsia="zh-CN"/>
        </w:rPr>
        <w:t>通过项目绩效自评，确定项目开展效果，项目开展内容是否达到上级部门下达的指标要求。</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预设问题及评价重点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按照绩效评价指标体系，中心从通用指标、专用指标及个性指标对项目开展了绩效评价工作。该项目资金支出使用全过程符合基本公共卫生项目资金实施方案要求，全部用于基本公共卫生服务项目</w:t>
      </w:r>
      <w:r>
        <w:rPr>
          <w:rFonts w:hint="eastAsia" w:ascii="仿宋_GB2312" w:hAnsi="仿宋_GB2312" w:eastAsia="仿宋_GB2312" w:cs="仿宋_GB2312"/>
          <w:sz w:val="32"/>
          <w:szCs w:val="32"/>
          <w:lang w:val="en-US" w:eastAsia="zh-CN"/>
        </w:rPr>
        <w:t>，实施效果与预计效果相符。</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评价选点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sz w:val="32"/>
          <w:szCs w:val="32"/>
          <w:lang w:val="zh-CN" w:eastAsia="zh-CN"/>
        </w:rPr>
        <w:t>项目绩效自评主要通过抽取</w:t>
      </w:r>
      <w:r>
        <w:rPr>
          <w:rFonts w:hint="eastAsia" w:ascii="仿宋_GB2312" w:hAnsi="仿宋_GB2312" w:eastAsia="仿宋_GB2312" w:cs="仿宋_GB2312"/>
          <w:sz w:val="32"/>
          <w:szCs w:val="32"/>
          <w:lang w:val="en-US" w:eastAsia="zh-CN"/>
        </w:rPr>
        <w:t>2024年资金拨付凭证来进行自评工作，通过核查中心拨付凭证，确定了项目资金的确用于拨付基本公共卫生服务项目。</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评价方法</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由于该专项资金主要用于涉及民生保障，资金用途明确。我中心采用单位自评法、实地勘察法对项目进行自评工作。</w:t>
      </w:r>
    </w:p>
    <w:p>
      <w:pPr>
        <w:keepNext w:val="0"/>
        <w:keepLines w:val="0"/>
        <w:pageBreakBefore w:val="0"/>
        <w:widowControl w:val="0"/>
        <w:numPr>
          <w:ilvl w:val="0"/>
          <w:numId w:val="2"/>
        </w:numPr>
        <w:kinsoku/>
        <w:wordWrap/>
        <w:overflowPunct/>
        <w:topLinePunct w:val="0"/>
        <w:autoSpaceDE/>
        <w:autoSpaceDN/>
        <w:bidi w:val="0"/>
        <w:spacing w:line="560"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评价组织</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评价组人员构成如下：</w:t>
      </w:r>
    </w:p>
    <w:p>
      <w:pPr>
        <w:pStyle w:val="14"/>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组长：郭成慧</w:t>
      </w:r>
      <w:r>
        <w:rPr>
          <w:rFonts w:hint="eastAsia" w:ascii="仿宋_GB2312" w:hAnsi="仿宋_GB2312" w:eastAsia="仿宋_GB2312" w:cs="仿宋_GB2312"/>
          <w:sz w:val="32"/>
          <w:szCs w:val="32"/>
          <w:lang w:val="en-US" w:eastAsia="zh-CN"/>
        </w:rPr>
        <w:t xml:space="preserve">  指导中心主任 负责全面评价工作</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成员：唐晓均  负责评价体系、框架以及评估工作</w:t>
      </w:r>
    </w:p>
    <w:p>
      <w:pPr>
        <w:pStyle w:val="14"/>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桑基忠  负责财务相关评价工作</w:t>
      </w:r>
    </w:p>
    <w:p>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刘胡萍  若甲  负责2023年指导办相关评价工作</w:t>
      </w:r>
    </w:p>
    <w:p>
      <w:pPr>
        <w:pStyle w:val="14"/>
        <w:keepNext w:val="0"/>
        <w:keepLines w:val="0"/>
        <w:pageBreakBefore w:val="0"/>
        <w:kinsoku/>
        <w:wordWrap/>
        <w:overflowPunct/>
        <w:topLinePunct w:val="0"/>
        <w:autoSpaceDE/>
        <w:autoSpaceDN/>
        <w:bidi w:val="0"/>
        <w:spacing w:line="560" w:lineRule="exact"/>
        <w:ind w:left="0" w:leftChars="0" w:firstLine="1600" w:firstLineChars="5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王  蕊   江友林   负责2023年乡镇执行机构绩效评价工作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outlineLvl w:val="9"/>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中心根据项目预算绩效评价指标体系“通用指标”“专用指标”“个性指标”三个方面对该项资金进行了全方位自评工作，具体情况如下：</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楷体_GB2312" w:hAnsi="楷体_GB2312" w:eastAsia="楷体_GB2312" w:cs="楷体_GB2312"/>
          <w:b/>
          <w:color w:val="auto"/>
          <w:sz w:val="32"/>
          <w:szCs w:val="32"/>
          <w:highlight w:val="none"/>
          <w:u w:val="none"/>
          <w:lang w:val="en-US" w:eastAsia="zh-CN"/>
        </w:rPr>
      </w:pPr>
      <w:r>
        <w:rPr>
          <w:rFonts w:hint="eastAsia" w:ascii="楷体_GB2312" w:hAnsi="楷体_GB2312" w:eastAsia="楷体_GB2312" w:cs="楷体_GB2312"/>
          <w:b/>
          <w:color w:val="auto"/>
          <w:sz w:val="32"/>
          <w:szCs w:val="32"/>
          <w:highlight w:val="none"/>
          <w:u w:val="none"/>
          <w:lang w:val="zh-CN"/>
        </w:rPr>
        <w:t>（一）</w:t>
      </w:r>
      <w:r>
        <w:rPr>
          <w:rFonts w:hint="eastAsia" w:ascii="楷体_GB2312" w:hAnsi="楷体_GB2312" w:eastAsia="楷体_GB2312" w:cs="楷体_GB2312"/>
          <w:b/>
          <w:color w:val="auto"/>
          <w:sz w:val="32"/>
          <w:szCs w:val="32"/>
          <w:highlight w:val="none"/>
          <w:u w:val="none"/>
          <w:lang w:val="en-US" w:eastAsia="zh-CN"/>
        </w:rPr>
        <w:t>通用指标</w:t>
      </w:r>
      <w:r>
        <w:rPr>
          <w:rFonts w:hint="eastAsia" w:ascii="楷体_GB2312" w:hAnsi="楷体_GB2312" w:eastAsia="楷体_GB2312" w:cs="楷体_GB2312"/>
          <w:b/>
          <w:bCs/>
          <w:color w:val="000000"/>
          <w:kern w:val="0"/>
          <w:sz w:val="32"/>
          <w:szCs w:val="32"/>
          <w:highlight w:val="none"/>
          <w:shd w:val="clear" w:color="auto" w:fill="FFFFFF"/>
          <w:lang w:val="zh-CN"/>
        </w:rPr>
        <w:t>绩效分析（</w:t>
      </w:r>
      <w:r>
        <w:rPr>
          <w:rFonts w:hint="eastAsia" w:ascii="楷体_GB2312" w:hAnsi="楷体_GB2312" w:eastAsia="楷体_GB2312" w:cs="楷体_GB2312"/>
          <w:b/>
          <w:bCs/>
          <w:color w:val="000000"/>
          <w:kern w:val="0"/>
          <w:sz w:val="32"/>
          <w:szCs w:val="32"/>
          <w:highlight w:val="none"/>
          <w:shd w:val="clear" w:color="auto" w:fill="FFFFFF"/>
          <w:lang w:val="en-US" w:eastAsia="zh-CN"/>
        </w:rPr>
        <w:t>53分</w:t>
      </w:r>
      <w:r>
        <w:rPr>
          <w:rFonts w:hint="eastAsia" w:ascii="楷体_GB2312" w:hAnsi="楷体_GB2312" w:eastAsia="楷体_GB2312" w:cs="楷体_GB2312"/>
          <w:b/>
          <w:bCs/>
          <w:color w:val="000000"/>
          <w:kern w:val="0"/>
          <w:sz w:val="32"/>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项目决策（</w:t>
      </w:r>
      <w:r>
        <w:rPr>
          <w:rFonts w:hint="eastAsia" w:ascii="仿宋_GB2312" w:hAnsi="仿宋_GB2312" w:eastAsia="仿宋_GB2312" w:cs="仿宋_GB2312"/>
          <w:color w:val="auto"/>
          <w:sz w:val="32"/>
          <w:szCs w:val="32"/>
          <w:lang w:val="en-US" w:eastAsia="zh-CN"/>
        </w:rPr>
        <w:t>18分</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sz w:val="32"/>
          <w:szCs w:val="32"/>
          <w:lang w:eastAsia="zh-CN"/>
        </w:rPr>
        <w:t>决策程序（</w:t>
      </w:r>
      <w:r>
        <w:rPr>
          <w:rFonts w:hint="eastAsia" w:ascii="仿宋_GB2312" w:hAnsi="仿宋_GB2312" w:eastAsia="仿宋_GB2312" w:cs="仿宋_GB2312"/>
          <w:color w:val="auto"/>
          <w:sz w:val="32"/>
          <w:szCs w:val="32"/>
          <w:lang w:val="en-US" w:eastAsia="zh-CN"/>
        </w:rPr>
        <w:t>6分）</w:t>
      </w:r>
      <w:r>
        <w:rPr>
          <w:rFonts w:hint="eastAsia" w:ascii="仿宋_GB2312" w:hAnsi="仿宋_GB2312" w:eastAsia="仿宋_GB2312" w:cs="仿宋_GB2312"/>
          <w:color w:val="auto"/>
          <w:sz w:val="32"/>
          <w:szCs w:val="32"/>
          <w:lang w:eastAsia="zh-CN"/>
        </w:rPr>
        <w:t>：项目设立、调整延续等方面符合资金管理基本规范和决策程序要求。项目设立依据</w:t>
      </w:r>
      <w:r>
        <w:rPr>
          <w:rFonts w:hint="eastAsia" w:ascii="仿宋_GB2312" w:hAnsi="仿宋_GB2312" w:eastAsia="仿宋_GB2312" w:cs="仿宋_GB2312"/>
          <w:color w:val="auto"/>
          <w:kern w:val="0"/>
          <w:sz w:val="32"/>
          <w:szCs w:val="32"/>
          <w:highlight w:val="none"/>
          <w:u w:val="none"/>
          <w:shd w:val="clear" w:color="auto" w:fill="FFFFFF"/>
          <w:lang w:val="en-US" w:eastAsia="zh-CN"/>
        </w:rPr>
        <w:t>阿坝州卫生健康委员会关于印发《阿坝州 2024年中央财政补助艾滋病等 重大传染病和地方病防治项目第一批资金 实施方案》的通知（阿州卫健发〔2024〕25号）</w:t>
      </w:r>
      <w:r>
        <w:rPr>
          <w:rFonts w:hint="eastAsia" w:ascii="仿宋_GB2312" w:hAnsi="仿宋_GB2312" w:eastAsia="仿宋_GB2312" w:cs="仿宋_GB2312"/>
          <w:b w:val="0"/>
          <w:bCs w:val="0"/>
          <w:color w:val="000000"/>
          <w:sz w:val="32"/>
          <w:szCs w:val="32"/>
          <w:lang w:eastAsia="zh-CN"/>
        </w:rPr>
        <w:t>。</w:t>
      </w:r>
      <w:r>
        <w:rPr>
          <w:rFonts w:hint="eastAsia" w:ascii="仿宋_GB2312" w:hAnsi="仿宋_GB2312" w:eastAsia="仿宋_GB2312" w:cs="仿宋_GB2312"/>
          <w:color w:val="auto"/>
          <w:kern w:val="0"/>
          <w:sz w:val="32"/>
          <w:szCs w:val="32"/>
          <w:highlight w:val="none"/>
          <w:u w:val="none"/>
          <w:shd w:val="clear" w:color="auto" w:fill="FFFFFF"/>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规划论证（</w:t>
      </w:r>
      <w:r>
        <w:rPr>
          <w:rFonts w:hint="eastAsia" w:ascii="仿宋_GB2312" w:hAnsi="仿宋_GB2312" w:eastAsia="仿宋_GB2312" w:cs="仿宋_GB2312"/>
          <w:color w:val="auto"/>
          <w:sz w:val="32"/>
          <w:szCs w:val="32"/>
          <w:lang w:val="en-US" w:eastAsia="zh-CN"/>
        </w:rPr>
        <w:t>6分）</w:t>
      </w:r>
      <w:r>
        <w:rPr>
          <w:rFonts w:hint="eastAsia" w:ascii="仿宋_GB2312" w:hAnsi="仿宋_GB2312" w:eastAsia="仿宋_GB2312" w:cs="仿宋_GB2312"/>
          <w:color w:val="auto"/>
          <w:sz w:val="32"/>
          <w:szCs w:val="32"/>
          <w:lang w:eastAsia="zh-CN"/>
        </w:rPr>
        <w:t>：项目规划符合</w:t>
      </w:r>
      <w:r>
        <w:rPr>
          <w:rFonts w:hint="eastAsia" w:ascii="仿宋_GB2312" w:hAnsi="仿宋_GB2312" w:eastAsia="仿宋_GB2312" w:cs="仿宋_GB2312"/>
          <w:color w:val="auto"/>
          <w:kern w:val="0"/>
          <w:sz w:val="32"/>
          <w:szCs w:val="32"/>
          <w:highlight w:val="none"/>
          <w:u w:val="none"/>
          <w:shd w:val="clear" w:color="auto" w:fill="FFFFFF"/>
          <w:lang w:val="en-US" w:eastAsia="zh-CN"/>
        </w:rPr>
        <w:t>阿坝州卫生健康委员会关于印发《阿坝州 2024年中央财政补助艾滋病等 重大传染病和地方病防治项目第一批资金 实施方案》的通知（阿州卫健发〔2024〕25号）文件要求</w:t>
      </w:r>
      <w:r>
        <w:rPr>
          <w:rFonts w:hint="eastAsia" w:ascii="仿宋_GB2312" w:hAnsi="仿宋_GB2312" w:eastAsia="仿宋_GB2312" w:cs="仿宋_GB2312"/>
          <w:color w:val="auto"/>
          <w:sz w:val="32"/>
          <w:szCs w:val="32"/>
          <w:lang w:eastAsia="zh-CN"/>
        </w:rPr>
        <w:t>；项目充分评估了论证项目立项必要性、前瞻性、合理性和可行性；项目总体绩效目标设置合理性的偏离度≤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lang w:eastAsia="zh-CN"/>
        </w:rPr>
        <w:t>%；绩效目标科学合理、规范完整、量化细化、预算匹配。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资金投向（</w:t>
      </w:r>
      <w:r>
        <w:rPr>
          <w:rFonts w:hint="eastAsia" w:ascii="仿宋_GB2312" w:hAnsi="仿宋_GB2312" w:eastAsia="仿宋_GB2312" w:cs="仿宋_GB2312"/>
          <w:color w:val="auto"/>
          <w:sz w:val="32"/>
          <w:szCs w:val="32"/>
          <w:lang w:val="en-US" w:eastAsia="zh-CN"/>
        </w:rPr>
        <w:t>6分）：该项目</w:t>
      </w:r>
      <w:r>
        <w:rPr>
          <w:rFonts w:hint="eastAsia" w:ascii="仿宋_GB2312" w:hAnsi="仿宋_GB2312" w:eastAsia="仿宋_GB2312" w:cs="仿宋_GB2312"/>
          <w:color w:val="auto"/>
          <w:sz w:val="32"/>
          <w:szCs w:val="32"/>
          <w:lang w:eastAsia="zh-CN"/>
        </w:rPr>
        <w:t>属于政府支持范围，且符合财政事权支出责任划分规定；资金投向与项目总体规划、相关行业事业发展相匹配；聚焦重大任务、重点领域、重点环节和重点项目，体现“集中力量</w:t>
      </w:r>
      <w:bookmarkStart w:id="0" w:name="_GoBack"/>
      <w:bookmarkEnd w:id="0"/>
      <w:r>
        <w:rPr>
          <w:rFonts w:hint="eastAsia" w:ascii="仿宋_GB2312" w:hAnsi="仿宋_GB2312" w:eastAsia="仿宋_GB2312" w:cs="仿宋_GB2312"/>
          <w:color w:val="auto"/>
          <w:sz w:val="32"/>
          <w:szCs w:val="32"/>
          <w:lang w:eastAsia="zh-CN"/>
        </w:rPr>
        <w:t>办大事”原则；未与其他同类项目或部门内部相关项目交叉重复。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项目管理</w:t>
      </w:r>
      <w:r>
        <w:rPr>
          <w:rFonts w:hint="eastAsia" w:ascii="仿宋_GB2312" w:hAnsi="仿宋_GB2312" w:eastAsia="仿宋_GB2312" w:cs="仿宋_GB2312"/>
          <w:color w:val="auto"/>
          <w:sz w:val="32"/>
          <w:szCs w:val="32"/>
          <w:lang w:val="en-US" w:eastAsia="zh-CN"/>
        </w:rPr>
        <w:t>（17分）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制度办法（</w:t>
      </w:r>
      <w:r>
        <w:rPr>
          <w:rFonts w:hint="eastAsia" w:ascii="仿宋_GB2312" w:hAnsi="仿宋_GB2312" w:eastAsia="仿宋_GB2312" w:cs="仿宋_GB2312"/>
          <w:color w:val="auto"/>
          <w:sz w:val="32"/>
          <w:szCs w:val="32"/>
          <w:lang w:val="en-US" w:eastAsia="zh-CN"/>
        </w:rPr>
        <w:t>1分</w:t>
      </w:r>
      <w:r>
        <w:rPr>
          <w:rFonts w:hint="eastAsia" w:ascii="仿宋_GB2312" w:hAnsi="仿宋_GB2312" w:eastAsia="仿宋_GB2312" w:cs="仿宋_GB2312"/>
          <w:color w:val="auto"/>
          <w:sz w:val="32"/>
          <w:szCs w:val="32"/>
          <w:lang w:eastAsia="zh-CN"/>
        </w:rPr>
        <w:t>）：单位未</w:t>
      </w:r>
      <w:r>
        <w:rPr>
          <w:rFonts w:hint="default" w:ascii="仿宋_GB2312" w:hAnsi="仿宋_GB2312" w:eastAsia="仿宋_GB2312" w:cs="仿宋_GB2312"/>
          <w:color w:val="auto"/>
          <w:sz w:val="32"/>
          <w:szCs w:val="32"/>
          <w:lang w:eastAsia="zh-CN"/>
        </w:rPr>
        <w:t>针对</w:t>
      </w:r>
      <w:r>
        <w:rPr>
          <w:rFonts w:hint="eastAsia" w:ascii="仿宋_GB2312" w:hAnsi="仿宋_GB2312" w:eastAsia="仿宋_GB2312" w:cs="仿宋_GB2312"/>
          <w:color w:val="auto"/>
          <w:sz w:val="32"/>
          <w:szCs w:val="32"/>
          <w:lang w:eastAsia="zh-CN"/>
        </w:rPr>
        <w:t>该项目单独设立资金管理办法，专项资金的使用严格按照项目实施方案以及财政相关规章制度执行。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分配管理（</w:t>
      </w:r>
      <w:r>
        <w:rPr>
          <w:rFonts w:hint="eastAsia" w:ascii="仿宋_GB2312" w:hAnsi="仿宋_GB2312" w:eastAsia="仿宋_GB2312" w:cs="仿宋_GB2312"/>
          <w:color w:val="auto"/>
          <w:sz w:val="32"/>
          <w:szCs w:val="32"/>
          <w:lang w:val="en-US" w:eastAsia="zh-CN"/>
        </w:rPr>
        <w:t>10分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）因素分配法：资金分配因素选取充分考虑相关行业事业发展实际和发展需求；资金分配因素的权重设置有效突出项目实施重点；资金区域分布结果公平合理。（</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）项目分配法：预算管理一体化有项目库；实行入库项目动态管理，按月、按季度开展动态监控；明确项目申报审核程序，按规定程序履行项目审批，项目申报符合州级要求。（</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）其他分配法：资金分配依据充分合理。资金分配严格按管理办法执行，决策程序符合管理要求，及时高效。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绩效监管（</w:t>
      </w:r>
      <w:r>
        <w:rPr>
          <w:rFonts w:hint="eastAsia" w:ascii="仿宋_GB2312" w:hAnsi="仿宋_GB2312" w:eastAsia="仿宋_GB2312" w:cs="仿宋_GB2312"/>
          <w:color w:val="auto"/>
          <w:sz w:val="32"/>
          <w:szCs w:val="32"/>
          <w:lang w:val="en-US" w:eastAsia="zh-CN"/>
        </w:rPr>
        <w:t>6分</w:t>
      </w:r>
      <w:r>
        <w:rPr>
          <w:rFonts w:hint="eastAsia" w:ascii="仿宋_GB2312" w:hAnsi="仿宋_GB2312" w:eastAsia="仿宋_GB2312" w:cs="仿宋_GB2312"/>
          <w:color w:val="auto"/>
          <w:sz w:val="32"/>
          <w:szCs w:val="32"/>
          <w:lang w:eastAsia="zh-CN"/>
        </w:rPr>
        <w:t>）：项目按中央、省、州要求全面完成绩效目标（含事前评估）、绩效评价、以前年度问题整改等预算绩效管理工作；省级部门对市县主管部门预算绩效管理要求到位，州、县资金分配和项目管理指导力度充足。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3.项目实施（9分）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预算</w:t>
      </w:r>
      <w:r>
        <w:rPr>
          <w:rFonts w:hint="eastAsia" w:ascii="仿宋_GB2312" w:hAnsi="仿宋_GB2312" w:eastAsia="仿宋_GB2312" w:cs="仿宋_GB2312"/>
          <w:color w:val="auto"/>
          <w:sz w:val="32"/>
          <w:szCs w:val="32"/>
          <w:lang w:val="zh-CN" w:eastAsia="zh-CN"/>
        </w:rPr>
        <w:t>执行（</w:t>
      </w:r>
      <w:r>
        <w:rPr>
          <w:rFonts w:hint="eastAsia" w:ascii="仿宋_GB2312" w:hAnsi="仿宋_GB2312" w:eastAsia="仿宋_GB2312" w:cs="仿宋_GB2312"/>
          <w:color w:val="auto"/>
          <w:sz w:val="32"/>
          <w:szCs w:val="32"/>
          <w:lang w:val="en-US" w:eastAsia="zh-CN"/>
        </w:rPr>
        <w:t>6分</w:t>
      </w:r>
      <w:r>
        <w:rPr>
          <w:rFonts w:hint="eastAsia" w:ascii="仿宋_GB2312" w:hAnsi="仿宋_GB2312" w:eastAsia="仿宋_GB2312" w:cs="仿宋_GB2312"/>
          <w:color w:val="auto"/>
          <w:sz w:val="32"/>
          <w:szCs w:val="32"/>
          <w:lang w:val="zh-CN" w:eastAsia="zh-CN"/>
        </w:rPr>
        <w:t>）：该项指标得分=</w:t>
      </w:r>
      <w:r>
        <w:rPr>
          <w:rFonts w:hint="eastAsia" w:ascii="仿宋_GB2312" w:hAnsi="仿宋_GB2312" w:eastAsia="仿宋_GB2312" w:cs="仿宋_GB2312"/>
          <w:color w:val="auto"/>
          <w:sz w:val="32"/>
          <w:szCs w:val="32"/>
          <w:lang w:val="en-US" w:eastAsia="zh-CN"/>
        </w:rPr>
        <w:t>财政资金拨付率×100%×2+单位资金使用率×100%×2+地方资金到位率×100%×2=100%</w:t>
      </w:r>
      <w:r>
        <w:rPr>
          <w:rFonts w:hint="eastAsia" w:ascii="仿宋_GB2312" w:hAnsi="仿宋_GB2312" w:eastAsia="仿宋_GB2312" w:cs="仿宋_GB2312"/>
          <w:color w:val="auto"/>
          <w:sz w:val="32"/>
          <w:szCs w:val="32"/>
          <w:lang w:val="zh-CN" w:eastAsia="zh-CN"/>
        </w:rPr>
        <w:t>×100%×2+</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lang w:val="zh-CN" w:eastAsia="zh-CN"/>
        </w:rPr>
        <w:t>×100%×2+</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lang w:val="zh-CN" w:eastAsia="zh-CN"/>
        </w:rPr>
        <w:t>×100%×2</w:t>
      </w:r>
      <w:r>
        <w:rPr>
          <w:rFonts w:hint="eastAsia" w:ascii="仿宋_GB2312" w:hAnsi="仿宋_GB2312" w:eastAsia="仿宋_GB2312" w:cs="仿宋_GB2312"/>
          <w:color w:val="auto"/>
          <w:sz w:val="32"/>
          <w:szCs w:val="32"/>
          <w:lang w:val="en-US" w:eastAsia="zh-CN"/>
        </w:rPr>
        <w:t>=6分。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资金使用（</w:t>
      </w:r>
      <w:r>
        <w:rPr>
          <w:rFonts w:hint="eastAsia" w:ascii="仿宋_GB2312" w:hAnsi="仿宋_GB2312" w:eastAsia="仿宋_GB2312" w:cs="仿宋_GB2312"/>
          <w:color w:val="auto"/>
          <w:sz w:val="32"/>
          <w:szCs w:val="32"/>
          <w:lang w:val="en-US" w:eastAsia="zh-CN"/>
        </w:rPr>
        <w:t>3分</w:t>
      </w:r>
      <w:r>
        <w:rPr>
          <w:rFonts w:hint="eastAsia" w:ascii="仿宋_GB2312" w:hAnsi="仿宋_GB2312" w:eastAsia="仿宋_GB2312" w:cs="仿宋_GB2312"/>
          <w:color w:val="auto"/>
          <w:sz w:val="32"/>
          <w:szCs w:val="32"/>
          <w:lang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4.项目结果 （9分）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目标完成（6分）：该项指标得分=实际完成目标任务量÷首次批复立项设定绩效目标任务总量×100%×6=1÷1×100%×6=6分。（项目完成目标任务量分类较多，均达到要求，数据详见个性指标绩效分析，故以1为目标任务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完成时效（</w:t>
      </w:r>
      <w:r>
        <w:rPr>
          <w:rFonts w:hint="eastAsia" w:ascii="仿宋_GB2312" w:hAnsi="仿宋_GB2312" w:eastAsia="仿宋_GB2312" w:cs="仿宋_GB2312"/>
          <w:color w:val="auto"/>
          <w:sz w:val="32"/>
          <w:szCs w:val="32"/>
          <w:lang w:val="en-US" w:eastAsia="zh-CN"/>
        </w:rPr>
        <w:t>3分</w:t>
      </w:r>
      <w:r>
        <w:rPr>
          <w:rFonts w:hint="eastAsia" w:ascii="仿宋_GB2312" w:hAnsi="仿宋_GB2312" w:eastAsia="仿宋_GB2312" w:cs="仿宋_GB2312"/>
          <w:color w:val="auto"/>
          <w:sz w:val="32"/>
          <w:szCs w:val="32"/>
          <w:lang w:eastAsia="zh-CN"/>
        </w:rPr>
        <w:t>）：该项指标得分=（1-(</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lang w:eastAsia="zh-CN"/>
        </w:rPr>
        <w:t>）×100%×3</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lang w:eastAsia="zh-CN"/>
        </w:rPr>
        <w:t>指标以月数为单位。实际完成时间-计划完成时间等于0，得</w:t>
      </w:r>
      <w:r>
        <w:rPr>
          <w:rFonts w:hint="eastAsia" w:ascii="仿宋_GB2312" w:hAnsi="仿宋_GB2312" w:eastAsia="仿宋_GB2312" w:cs="仿宋_GB2312"/>
          <w:color w:val="auto"/>
          <w:sz w:val="32"/>
          <w:szCs w:val="32"/>
          <w:lang w:val="en-US" w:eastAsia="zh-CN"/>
        </w:rPr>
        <w:t>3分。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楷体_GB2312" w:hAnsi="楷体_GB2312" w:eastAsia="楷体_GB2312" w:cs="楷体_GB2312"/>
          <w:color w:val="auto"/>
          <w:sz w:val="32"/>
          <w:szCs w:val="32"/>
          <w:lang w:val="zh-CN" w:eastAsia="zh-CN"/>
        </w:rPr>
      </w:pPr>
      <w:r>
        <w:rPr>
          <w:rFonts w:hint="eastAsia" w:ascii="楷体_GB2312" w:hAnsi="楷体_GB2312" w:eastAsia="楷体_GB2312" w:cs="楷体_GB2312"/>
          <w:b/>
          <w:color w:val="auto"/>
          <w:sz w:val="32"/>
          <w:szCs w:val="32"/>
          <w:highlight w:val="none"/>
          <w:u w:val="none"/>
          <w:lang w:val="zh-CN"/>
        </w:rPr>
        <w:t>（二）</w:t>
      </w:r>
      <w:r>
        <w:rPr>
          <w:rFonts w:hint="eastAsia" w:ascii="楷体_GB2312" w:hAnsi="楷体_GB2312" w:eastAsia="楷体_GB2312" w:cs="楷体_GB2312"/>
          <w:b/>
          <w:color w:val="auto"/>
          <w:sz w:val="32"/>
          <w:szCs w:val="32"/>
          <w:highlight w:val="none"/>
          <w:u w:val="none"/>
          <w:lang w:val="en-US" w:eastAsia="zh-CN"/>
        </w:rPr>
        <w:t>专用指标</w:t>
      </w:r>
      <w:r>
        <w:rPr>
          <w:rFonts w:hint="eastAsia" w:ascii="楷体_GB2312" w:hAnsi="楷体_GB2312" w:eastAsia="楷体_GB2312" w:cs="楷体_GB2312"/>
          <w:b/>
          <w:bCs/>
          <w:color w:val="000000"/>
          <w:kern w:val="0"/>
          <w:sz w:val="32"/>
          <w:szCs w:val="32"/>
          <w:highlight w:val="none"/>
          <w:shd w:val="clear" w:color="auto" w:fill="FFFFFF"/>
          <w:lang w:val="zh-CN"/>
        </w:rPr>
        <w:t>绩效分析（</w:t>
      </w:r>
      <w:r>
        <w:rPr>
          <w:rFonts w:hint="eastAsia" w:ascii="楷体_GB2312" w:hAnsi="楷体_GB2312" w:eastAsia="楷体_GB2312" w:cs="楷体_GB2312"/>
          <w:b/>
          <w:bCs/>
          <w:color w:val="000000"/>
          <w:kern w:val="0"/>
          <w:sz w:val="32"/>
          <w:szCs w:val="32"/>
          <w:highlight w:val="none"/>
          <w:shd w:val="clear" w:color="auto" w:fill="FFFFFF"/>
          <w:lang w:val="en-US" w:eastAsia="zh-CN"/>
        </w:rPr>
        <w:t>30分</w:t>
      </w:r>
      <w:r>
        <w:rPr>
          <w:rFonts w:hint="eastAsia" w:ascii="楷体_GB2312" w:hAnsi="楷体_GB2312" w:eastAsia="楷体_GB2312" w:cs="楷体_GB2312"/>
          <w:b/>
          <w:bCs/>
          <w:color w:val="000000"/>
          <w:kern w:val="0"/>
          <w:sz w:val="32"/>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val="zh-CN" w:eastAsia="zh-CN"/>
        </w:rPr>
      </w:pPr>
      <w:r>
        <w:rPr>
          <w:rFonts w:hint="eastAsia" w:ascii="仿宋_GB2312" w:hAnsi="仿宋_GB2312" w:eastAsia="仿宋_GB2312" w:cs="仿宋_GB2312"/>
          <w:color w:val="auto"/>
          <w:sz w:val="32"/>
          <w:szCs w:val="32"/>
          <w:lang w:val="zh-CN" w:eastAsia="zh-CN"/>
        </w:rPr>
        <w:t>民生保障：该项目主要涉及民生保障。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区域均衡性（</w:t>
      </w:r>
      <w:r>
        <w:rPr>
          <w:rFonts w:hint="eastAsia" w:ascii="仿宋_GB2312" w:hAnsi="仿宋_GB2312" w:eastAsia="仿宋_GB2312" w:cs="仿宋_GB2312"/>
          <w:color w:val="auto"/>
          <w:sz w:val="32"/>
          <w:szCs w:val="32"/>
          <w:lang w:val="en-US" w:eastAsia="zh-CN"/>
        </w:rPr>
        <w:t>10分</w:t>
      </w:r>
      <w:r>
        <w:rPr>
          <w:rFonts w:hint="eastAsia" w:ascii="仿宋_GB2312" w:hAnsi="仿宋_GB2312" w:eastAsia="仿宋_GB2312" w:cs="仿宋_GB2312"/>
          <w:color w:val="auto"/>
          <w:sz w:val="32"/>
          <w:szCs w:val="32"/>
          <w:lang w:eastAsia="zh-CN"/>
        </w:rPr>
        <w:t>）：该项目实施使本县地方病防治能力得到了改善。</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对象精准性（</w:t>
      </w:r>
      <w:r>
        <w:rPr>
          <w:rFonts w:hint="eastAsia" w:ascii="仿宋_GB2312" w:hAnsi="仿宋_GB2312" w:eastAsia="仿宋_GB2312" w:cs="仿宋_GB2312"/>
          <w:color w:val="auto"/>
          <w:sz w:val="32"/>
          <w:szCs w:val="32"/>
          <w:lang w:val="en-US" w:eastAsia="zh-CN"/>
        </w:rPr>
        <w:t>10分</w:t>
      </w:r>
      <w:r>
        <w:rPr>
          <w:rFonts w:hint="eastAsia" w:ascii="仿宋_GB2312" w:hAnsi="仿宋_GB2312" w:eastAsia="仿宋_GB2312" w:cs="仿宋_GB2312"/>
          <w:color w:val="auto"/>
          <w:sz w:val="32"/>
          <w:szCs w:val="32"/>
          <w:lang w:eastAsia="zh-CN"/>
        </w:rPr>
        <w:t>）：该项指标得分=（</w:t>
      </w:r>
      <w:r>
        <w:rPr>
          <w:rFonts w:hint="eastAsia" w:ascii="仿宋_GB2312" w:hAnsi="仿宋_GB2312" w:eastAsia="仿宋_GB2312" w:cs="仿宋_GB2312"/>
          <w:color w:val="auto"/>
          <w:sz w:val="32"/>
          <w:szCs w:val="32"/>
          <w:lang w:val="en-US" w:eastAsia="zh-CN"/>
        </w:rPr>
        <w:t>130</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130</w:t>
      </w:r>
      <w:r>
        <w:rPr>
          <w:rFonts w:hint="eastAsia" w:ascii="仿宋_GB2312" w:hAnsi="仿宋_GB2312" w:eastAsia="仿宋_GB2312" w:cs="仿宋_GB2312"/>
          <w:color w:val="auto"/>
          <w:sz w:val="32"/>
          <w:szCs w:val="32"/>
          <w:lang w:eastAsia="zh-CN"/>
        </w:rPr>
        <w:t>×100%×10</w:t>
      </w:r>
      <w:r>
        <w:rPr>
          <w:rFonts w:hint="eastAsia" w:ascii="仿宋_GB2312" w:hAnsi="仿宋_GB2312" w:eastAsia="仿宋_GB2312" w:cs="仿宋_GB2312"/>
          <w:color w:val="auto"/>
          <w:sz w:val="32"/>
          <w:szCs w:val="32"/>
          <w:lang w:val="en-US" w:eastAsia="zh-CN"/>
        </w:rPr>
        <w:t>=10分。抽样的支持对象总人数130人，不符合支持对象人数0人，抽样的支持对象总人数130人。（选取大骨节病治疗任务数作为自评依据）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highlight w:val="red"/>
          <w:lang w:val="en-US" w:eastAsia="zh-CN"/>
        </w:rPr>
      </w:pPr>
      <w:r>
        <w:rPr>
          <w:rFonts w:hint="eastAsia" w:ascii="仿宋_GB2312" w:hAnsi="仿宋_GB2312" w:eastAsia="仿宋_GB2312" w:cs="仿宋_GB2312"/>
          <w:color w:val="auto"/>
          <w:sz w:val="32"/>
          <w:szCs w:val="32"/>
          <w:lang w:eastAsia="zh-CN"/>
        </w:rPr>
        <w:t>标准合理性（</w:t>
      </w:r>
      <w:r>
        <w:rPr>
          <w:rFonts w:hint="eastAsia" w:ascii="仿宋_GB2312" w:hAnsi="仿宋_GB2312" w:eastAsia="仿宋_GB2312" w:cs="仿宋_GB2312"/>
          <w:color w:val="auto"/>
          <w:sz w:val="32"/>
          <w:szCs w:val="32"/>
          <w:lang w:val="en-US" w:eastAsia="zh-CN"/>
        </w:rPr>
        <w:t>5分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该项指标得分=（130-0）÷130×100%×5=5分。（选取大骨节病治疗任务数作为自评依据）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群众满意度（</w:t>
      </w:r>
      <w:r>
        <w:rPr>
          <w:rFonts w:hint="eastAsia" w:ascii="仿宋_GB2312" w:hAnsi="仿宋_GB2312" w:eastAsia="仿宋_GB2312" w:cs="仿宋_GB2312"/>
          <w:color w:val="auto"/>
          <w:sz w:val="32"/>
          <w:szCs w:val="32"/>
          <w:lang w:val="en-US" w:eastAsia="zh-CN"/>
        </w:rPr>
        <w:t>5分</w:t>
      </w:r>
      <w:r>
        <w:rPr>
          <w:rFonts w:hint="eastAsia" w:ascii="仿宋_GB2312" w:hAnsi="仿宋_GB2312" w:eastAsia="仿宋_GB2312" w:cs="仿宋_GB2312"/>
          <w:color w:val="auto"/>
          <w:sz w:val="32"/>
          <w:szCs w:val="32"/>
          <w:lang w:eastAsia="zh-CN"/>
        </w:rPr>
        <w:t>）：该项指标得分=</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lang w:eastAsia="zh-CN"/>
        </w:rPr>
        <w:t>×100%×5</w:t>
      </w:r>
      <w:r>
        <w:rPr>
          <w:rFonts w:hint="eastAsia" w:ascii="仿宋_GB2312" w:hAnsi="仿宋_GB2312" w:eastAsia="仿宋_GB2312" w:cs="仿宋_GB2312"/>
          <w:color w:val="auto"/>
          <w:sz w:val="32"/>
          <w:szCs w:val="32"/>
          <w:lang w:val="en-US" w:eastAsia="zh-CN"/>
        </w:rPr>
        <w:t>=5分。</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2" w:firstLineChars="20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b/>
          <w:color w:val="auto"/>
          <w:sz w:val="32"/>
          <w:szCs w:val="32"/>
          <w:highlight w:val="none"/>
          <w:u w:val="none"/>
          <w:lang w:val="en-US" w:eastAsia="zh-CN"/>
        </w:rPr>
        <w:t>个性指标</w:t>
      </w:r>
      <w:r>
        <w:rPr>
          <w:rFonts w:hint="eastAsia" w:ascii="楷体_GB2312" w:hAnsi="楷体_GB2312" w:eastAsia="楷体_GB2312" w:cs="楷体_GB2312"/>
          <w:b/>
          <w:bCs/>
          <w:color w:val="000000"/>
          <w:kern w:val="0"/>
          <w:sz w:val="32"/>
          <w:szCs w:val="32"/>
          <w:highlight w:val="none"/>
          <w:shd w:val="clear" w:color="auto" w:fill="FFFFFF"/>
          <w:lang w:val="zh-CN"/>
        </w:rPr>
        <w:t>绩效分析（</w:t>
      </w:r>
      <w:r>
        <w:rPr>
          <w:rFonts w:hint="eastAsia" w:ascii="楷体_GB2312" w:hAnsi="楷体_GB2312" w:eastAsia="楷体_GB2312" w:cs="楷体_GB2312"/>
          <w:b/>
          <w:bCs/>
          <w:color w:val="000000"/>
          <w:kern w:val="0"/>
          <w:sz w:val="32"/>
          <w:szCs w:val="32"/>
          <w:highlight w:val="none"/>
          <w:shd w:val="clear" w:color="auto" w:fill="FFFFFF"/>
          <w:lang w:val="en-US" w:eastAsia="zh-CN"/>
        </w:rPr>
        <w:t>15.39分</w:t>
      </w:r>
      <w:r>
        <w:rPr>
          <w:rFonts w:hint="eastAsia" w:ascii="楷体_GB2312" w:hAnsi="楷体_GB2312" w:eastAsia="楷体_GB2312" w:cs="楷体_GB2312"/>
          <w:b/>
          <w:bCs/>
          <w:color w:val="000000"/>
          <w:kern w:val="0"/>
          <w:sz w:val="32"/>
          <w:szCs w:val="32"/>
          <w:highlight w:val="none"/>
          <w:shd w:val="clear" w:color="auto" w:fill="FFFFFF"/>
          <w:lang w:val="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数量指标（15.39分）：</w:t>
      </w:r>
      <w:r>
        <w:rPr>
          <w:rStyle w:val="18"/>
          <w:rFonts w:hint="eastAsia" w:ascii="仿宋_GB2312" w:hAnsi="仿宋_GB2312" w:eastAsia="仿宋_GB2312" w:cs="仿宋_GB2312"/>
          <w:color w:val="auto"/>
          <w:sz w:val="32"/>
          <w:szCs w:val="32"/>
        </w:rPr>
        <w:t>大骨节病病人治疗任务数130人，</w:t>
      </w:r>
      <w:r>
        <w:rPr>
          <w:rStyle w:val="18"/>
          <w:rFonts w:hint="eastAsia" w:ascii="仿宋_GB2312" w:hAnsi="仿宋_GB2312" w:eastAsia="仿宋_GB2312" w:cs="仿宋_GB2312"/>
          <w:color w:val="auto"/>
          <w:sz w:val="32"/>
          <w:szCs w:val="32"/>
          <w:lang w:eastAsia="zh-CN"/>
        </w:rPr>
        <w:t>实际完成值</w:t>
      </w:r>
      <w:r>
        <w:rPr>
          <w:rStyle w:val="18"/>
          <w:rFonts w:hint="eastAsia" w:ascii="仿宋_GB2312" w:hAnsi="仿宋_GB2312" w:eastAsia="仿宋_GB2312" w:cs="仿宋_GB2312"/>
          <w:color w:val="auto"/>
          <w:sz w:val="32"/>
          <w:szCs w:val="32"/>
        </w:rPr>
        <w:t>130人</w:t>
      </w:r>
      <w:r>
        <w:rPr>
          <w:rFonts w:hint="eastAsia" w:ascii="仿宋_GB2312" w:hAnsi="仿宋_GB2312" w:eastAsia="仿宋_GB2312" w:cs="仿宋_GB2312"/>
          <w:color w:val="auto"/>
          <w:sz w:val="32"/>
          <w:szCs w:val="32"/>
          <w:lang w:val="en-US" w:eastAsia="zh-CN"/>
        </w:rPr>
        <w:t>（3.2分）；</w:t>
      </w:r>
      <w:r>
        <w:rPr>
          <w:rStyle w:val="18"/>
          <w:rFonts w:hint="eastAsia" w:ascii="仿宋_GB2312" w:hAnsi="仿宋_GB2312" w:eastAsia="仿宋_GB2312" w:cs="仿宋_GB2312"/>
          <w:color w:val="auto"/>
          <w:sz w:val="32"/>
          <w:szCs w:val="32"/>
        </w:rPr>
        <w:t>碘缺乏病尿碘检测600份</w:t>
      </w:r>
      <w:r>
        <w:rPr>
          <w:rFonts w:hint="eastAsia" w:ascii="仿宋_GB2312" w:hAnsi="仿宋_GB2312" w:eastAsia="仿宋_GB2312" w:cs="仿宋_GB2312"/>
          <w:color w:val="auto"/>
          <w:sz w:val="32"/>
          <w:szCs w:val="32"/>
          <w:lang w:val="en-US" w:eastAsia="zh-CN"/>
        </w:rPr>
        <w:t>，实际完成值485份（2.59分）；</w:t>
      </w:r>
      <w:r>
        <w:rPr>
          <w:rStyle w:val="18"/>
          <w:rFonts w:hint="eastAsia" w:ascii="仿宋_GB2312" w:hAnsi="仿宋_GB2312" w:eastAsia="仿宋_GB2312" w:cs="仿宋_GB2312"/>
          <w:color w:val="auto"/>
          <w:sz w:val="32"/>
          <w:szCs w:val="32"/>
        </w:rPr>
        <w:t>碘缺乏病盐碘检测568份</w:t>
      </w:r>
      <w:r>
        <w:rPr>
          <w:rFonts w:hint="eastAsia" w:ascii="仿宋_GB2312" w:hAnsi="仿宋_GB2312" w:eastAsia="仿宋_GB2312" w:cs="仿宋_GB2312"/>
          <w:color w:val="auto"/>
          <w:sz w:val="32"/>
          <w:szCs w:val="32"/>
          <w:lang w:val="en-US" w:eastAsia="zh-CN"/>
        </w:rPr>
        <w:t>，实际完成值568份（3.2分）；</w:t>
      </w:r>
      <w:r>
        <w:rPr>
          <w:rStyle w:val="18"/>
          <w:rFonts w:hint="eastAsia" w:ascii="仿宋_GB2312" w:hAnsi="仿宋_GB2312" w:eastAsia="仿宋_GB2312" w:cs="仿宋_GB2312"/>
          <w:color w:val="auto"/>
          <w:sz w:val="32"/>
          <w:szCs w:val="32"/>
        </w:rPr>
        <w:t>碘缺乏病水碘检测10份</w:t>
      </w:r>
      <w:r>
        <w:rPr>
          <w:rFonts w:hint="eastAsia" w:ascii="仿宋_GB2312" w:hAnsi="仿宋_GB2312" w:eastAsia="仿宋_GB2312" w:cs="仿宋_GB2312"/>
          <w:color w:val="auto"/>
          <w:sz w:val="32"/>
          <w:szCs w:val="32"/>
          <w:lang w:val="en-US" w:eastAsia="zh-CN"/>
        </w:rPr>
        <w:t>，实际完成值10份（3.2分）；</w:t>
      </w:r>
      <w:r>
        <w:rPr>
          <w:rStyle w:val="18"/>
          <w:rFonts w:hint="eastAsia" w:ascii="仿宋_GB2312" w:hAnsi="仿宋_GB2312" w:eastAsia="仿宋_GB2312" w:cs="仿宋_GB2312"/>
          <w:color w:val="auto"/>
          <w:sz w:val="32"/>
          <w:szCs w:val="32"/>
        </w:rPr>
        <w:t>寺庙僧人健康教育2所</w:t>
      </w:r>
      <w:r>
        <w:rPr>
          <w:rFonts w:hint="eastAsia" w:ascii="仿宋_GB2312" w:hAnsi="仿宋_GB2312" w:eastAsia="仿宋_GB2312" w:cs="仿宋_GB2312"/>
          <w:color w:val="auto"/>
          <w:sz w:val="32"/>
          <w:szCs w:val="32"/>
          <w:lang w:val="en-US" w:eastAsia="zh-CN"/>
        </w:rPr>
        <w:t>，实际完成值2所（3.2分）。</w:t>
      </w:r>
    </w:p>
    <w:p>
      <w:pPr>
        <w:pStyle w:val="5"/>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position w:val="0"/>
          <w:sz w:val="32"/>
          <w:szCs w:val="32"/>
          <w:lang w:val="en-US" w:eastAsia="zh-CN" w:bidi="ar-SA"/>
        </w:rPr>
        <w:t>质量指标：</w:t>
      </w:r>
      <w:r>
        <w:rPr>
          <w:rFonts w:hint="eastAsia" w:ascii="仿宋_GB2312" w:hAnsi="仿宋_GB2312" w:eastAsia="仿宋_GB2312" w:cs="仿宋_GB2312"/>
          <w:color w:val="auto"/>
          <w:kern w:val="2"/>
          <w:position w:val="0"/>
          <w:sz w:val="32"/>
          <w:szCs w:val="32"/>
          <w:lang w:val="en-US" w:eastAsia="zh-CN" w:bidi="ar-SA"/>
        </w:rPr>
        <w:t>提高病区群众地方病防治知识治疗率，通过项目实施较上年有所增长；饮茶型地氟病防治知晓率≥80%，全年知晓率达91.55%；病区监测村25周岁以上人员饮茶型氟中毒监测率≥90%，全年检查673人，监测率达90%；病区监测村8-12周岁儿童氟斑牙监测率≥90%，全年监测率达90%。</w:t>
      </w:r>
    </w:p>
    <w:p>
      <w:pPr>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社会效益指标：不断缩小城乡居民公共卫生差距。</w:t>
      </w:r>
    </w:p>
    <w:p>
      <w:pPr>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时效指标：在2024年底前完成了目标任务。</w:t>
      </w:r>
    </w:p>
    <w:p>
      <w:pPr>
        <w:pStyle w:val="14"/>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成本指标：</w:t>
      </w:r>
      <w:r>
        <w:rPr>
          <w:rStyle w:val="18"/>
          <w:rFonts w:hint="eastAsia" w:ascii="仿宋_GB2312" w:hAnsi="仿宋_GB2312" w:eastAsia="仿宋_GB2312" w:cs="仿宋_GB2312"/>
          <w:color w:val="auto"/>
          <w:sz w:val="32"/>
          <w:szCs w:val="32"/>
        </w:rPr>
        <w:t>所有成本均在各项制度及标准范围内，严格控制了项目成本，确保资金使用效益最大化。</w:t>
      </w:r>
    </w:p>
    <w:p>
      <w:pPr>
        <w:pStyle w:val="5"/>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5"/>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该项专项预算项目绩效自评总体结论优异，自评得分98.39分，项目实施范围符合州级要求，并按照完成了项目资金拨付，资金使用率达100%。</w:t>
      </w:r>
    </w:p>
    <w:p>
      <w:pPr>
        <w:pStyle w:val="5"/>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keepNext w:val="0"/>
        <w:keepLines w:val="0"/>
        <w:pageBreakBefore w:val="0"/>
        <w:numPr>
          <w:ilvl w:val="0"/>
          <w:numId w:val="0"/>
        </w:numPr>
        <w:kinsoku/>
        <w:wordWrap/>
        <w:overflowPunct/>
        <w:topLinePunct w:val="0"/>
        <w:autoSpaceDE/>
        <w:autoSpaceDN/>
        <w:bidi w:val="0"/>
        <w:spacing w:line="56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sz w:val="32"/>
          <w:szCs w:val="32"/>
          <w:lang w:val="en-US" w:eastAsia="zh-CN"/>
        </w:rPr>
        <w:t>居民参与度不高。尽管项目实施过程中开展了卫生知识宣传和健康教育活动，但仍有部分居民的参与度不高。这主要是由于宣传力度不够、宣传方式单一等问题所致。</w:t>
      </w:r>
    </w:p>
    <w:p>
      <w:pPr>
        <w:pStyle w:val="5"/>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zh-CN" w:eastAsia="zh-CN"/>
        </w:rPr>
      </w:pPr>
      <w:r>
        <w:rPr>
          <w:rFonts w:hint="eastAsia" w:ascii="仿宋_GB2312" w:hAnsi="仿宋_GB2312" w:eastAsia="仿宋_GB2312" w:cs="仿宋_GB2312"/>
          <w:sz w:val="32"/>
          <w:szCs w:val="32"/>
          <w:lang w:val="en-US" w:eastAsia="zh-CN"/>
        </w:rPr>
        <w:t>加大宣传力度，提高健康意识。要利用慢性病随访、发放健康教育服务包等入户机会对群众进行相关知识的健康教育，改变部分群众的不良生活习惯，加强宣传基本公共卫生服务项目内容及国家的相关惠民政策，努力提高群众的健康意识。</w:t>
      </w:r>
    </w:p>
    <w:p>
      <w:pPr>
        <w:keepNext w:val="0"/>
        <w:keepLines w:val="0"/>
        <w:pageBreakBefore w:val="0"/>
        <w:widowControl/>
        <w:kinsoku w:val="0"/>
        <w:wordWrap/>
        <w:overflowPunct/>
        <w:topLinePunct w:val="0"/>
        <w:autoSpaceDE w:val="0"/>
        <w:autoSpaceDN w:val="0"/>
        <w:bidi w:val="0"/>
        <w:adjustRightInd w:val="0"/>
        <w:snapToGrid w:val="0"/>
        <w:spacing w:line="560" w:lineRule="exact"/>
        <w:jc w:val="left"/>
        <w:textAlignment w:val="baseline"/>
        <w:rPr>
          <w:rFonts w:hint="eastAsia" w:ascii="方正仿宋_GBK" w:hAnsi="方正仿宋_GBK" w:eastAsia="方正仿宋_GBK" w:cs="方正仿宋_GBK"/>
          <w:sz w:val="32"/>
          <w:szCs w:val="32"/>
          <w:lang w:val="en-US" w:eastAsia="zh-CN"/>
        </w:rPr>
      </w:pPr>
    </w:p>
    <w:p>
      <w:pPr>
        <w:pStyle w:val="2"/>
        <w:rPr>
          <w:rFonts w:hint="eastAsia" w:ascii="方正仿宋_GBK" w:hAnsi="方正仿宋_GBK" w:eastAsia="方正仿宋_GBK" w:cs="方正仿宋_GBK"/>
          <w:sz w:val="32"/>
          <w:szCs w:val="32"/>
          <w:lang w:val="en-US" w:eastAsia="zh-CN"/>
        </w:rPr>
      </w:pPr>
    </w:p>
    <w:p>
      <w:pPr>
        <w:pStyle w:val="2"/>
        <w:rPr>
          <w:rFonts w:hint="eastAsia"/>
          <w:lang w:val="en-US" w:eastAsia="zh-CN"/>
        </w:rPr>
      </w:pPr>
    </w:p>
    <w:p>
      <w:pPr>
        <w:rPr>
          <w:rFonts w:hint="eastAsia"/>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jc w:val="right"/>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黑水县疾病预防控制中心</w:t>
      </w:r>
    </w:p>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default" w:ascii="Times New Roman" w:hAnsi="Times New Roman" w:eastAsia="宋体" w:cs="Times New Roman"/>
          <w:kern w:val="2"/>
          <w:sz w:val="21"/>
          <w:szCs w:val="24"/>
          <w:lang w:val="zh-CN" w:eastAsia="zh-CN" w:bidi="ar-SA"/>
        </w:rPr>
      </w:pPr>
      <w:r>
        <w:rPr>
          <w:rFonts w:hint="eastAsia" w:ascii="仿宋_GB2312" w:hAnsi="仿宋_GB2312" w:eastAsia="仿宋_GB2312" w:cs="仿宋_GB2312"/>
          <w:sz w:val="32"/>
          <w:szCs w:val="32"/>
          <w:lang w:val="en-US" w:eastAsia="zh-CN"/>
        </w:rPr>
        <w:t xml:space="preserve">                                2025年</w:t>
      </w:r>
      <w:r>
        <w:rPr>
          <w:rFonts w:hint="eastAsia" w:ascii="仿宋_GB2312" w:hAnsi="仿宋" w:eastAsia="仿宋_GB2312" w:cs="仿宋"/>
        </w:rPr>
        <w:drawing>
          <wp:anchor distT="0" distB="0" distL="114935" distR="114935" simplePos="0" relativeHeight="251660288" behindDoc="1" locked="0" layoutInCell="1" allowOverlap="1">
            <wp:simplePos x="0" y="0"/>
            <wp:positionH relativeFrom="column">
              <wp:posOffset>3784600</wp:posOffset>
            </wp:positionH>
            <wp:positionV relativeFrom="paragraph">
              <wp:posOffset>-736600</wp:posOffset>
            </wp:positionV>
            <wp:extent cx="1487805" cy="1458595"/>
            <wp:effectExtent l="202565" t="196850" r="205740" b="201295"/>
            <wp:wrapNone/>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6"/>
                    <a:stretch>
                      <a:fillRect/>
                    </a:stretch>
                  </pic:blipFill>
                  <pic:spPr>
                    <a:xfrm rot="17340000">
                      <a:off x="0" y="0"/>
                      <a:ext cx="1487805" cy="1458595"/>
                    </a:xfrm>
                    <a:prstGeom prst="rect">
                      <a:avLst/>
                    </a:prstGeom>
                  </pic:spPr>
                </pic:pic>
              </a:graphicData>
            </a:graphic>
          </wp:anchor>
        </w:drawing>
      </w:r>
      <w:r>
        <w:rPr>
          <w:rFonts w:hint="eastAsia" w:ascii="仿宋_GB2312" w:hAnsi="仿宋_GB2312" w:eastAsia="仿宋_GB2312" w:cs="仿宋_GB2312"/>
          <w:sz w:val="32"/>
          <w:szCs w:val="32"/>
          <w:lang w:val="en-US" w:eastAsia="zh-CN"/>
        </w:rPr>
        <w:t>5月20日</w:t>
      </w:r>
    </w:p>
    <w:p>
      <w:pPr>
        <w:pStyle w:val="2"/>
        <w:pageBreakBefore w:val="0"/>
        <w:wordWrap/>
        <w:overflowPunct/>
        <w:topLinePunct w:val="0"/>
        <w:bidi w:val="0"/>
        <w:spacing w:line="560" w:lineRule="exact"/>
        <w:rPr>
          <w:rFonts w:hint="default" w:ascii="Times New Roman" w:hAnsi="Times New Roman" w:eastAsia="宋体" w:cs="Times New Roman"/>
          <w:kern w:val="2"/>
          <w:sz w:val="21"/>
          <w:szCs w:val="24"/>
          <w:lang w:val="zh-CN" w:eastAsia="zh-CN" w:bidi="ar-SA"/>
        </w:rPr>
      </w:pPr>
    </w:p>
    <w:p>
      <w:pPr>
        <w:pStyle w:val="7"/>
        <w:keepNext w:val="0"/>
        <w:keepLines w:val="0"/>
        <w:pageBreakBefore w:val="0"/>
        <w:pBdr>
          <w:top w:val="single" w:color="auto" w:sz="4" w:space="1"/>
          <w:bottom w:val="single" w:color="auto" w:sz="4" w:space="1"/>
          <w:between w:val="single" w:color="auto" w:sz="4" w:space="1"/>
        </w:pBdr>
        <w:kinsoku/>
        <w:wordWrap/>
        <w:overflowPunct/>
        <w:topLinePunct w:val="0"/>
        <w:bidi w:val="0"/>
        <w:snapToGrid/>
        <w:spacing w:line="560" w:lineRule="exact"/>
        <w:ind w:firstLine="140" w:firstLineChars="50"/>
        <w:jc w:val="left"/>
        <w:rPr>
          <w:rFonts w:hint="eastAsia"/>
          <w:lang w:val="en-US" w:eastAsia="zh-CN"/>
        </w:rPr>
      </w:pPr>
      <w:r>
        <w:rPr>
          <w:rFonts w:hint="eastAsia" w:ascii="仿宋_GB2312" w:eastAsia="仿宋_GB2312"/>
          <w:sz w:val="28"/>
          <w:szCs w:val="28"/>
          <w:lang w:val="en-US" w:eastAsia="zh-CN"/>
        </w:rPr>
        <w:t>黑水县</w:t>
      </w:r>
      <w:r>
        <w:rPr>
          <w:rFonts w:hint="eastAsia" w:ascii="仿宋_GB2312" w:eastAsia="仿宋_GB2312"/>
          <w:sz w:val="28"/>
          <w:szCs w:val="28"/>
        </w:rPr>
        <w:t xml:space="preserve">疾病预防控制中心           </w:t>
      </w:r>
      <w:r>
        <w:rPr>
          <w:rFonts w:hint="eastAsia" w:ascii="仿宋_GB2312" w:eastAsia="仿宋_GB2312"/>
          <w:sz w:val="28"/>
          <w:szCs w:val="28"/>
          <w:lang w:val="en-US" w:eastAsia="zh-CN"/>
        </w:rPr>
        <w:t xml:space="preserve">          </w:t>
      </w:r>
      <w:r>
        <w:rPr>
          <w:rFonts w:hint="eastAsia" w:ascii="仿宋_GB2312" w:eastAsia="仿宋_GB2312"/>
          <w:sz w:val="28"/>
          <w:szCs w:val="28"/>
        </w:rPr>
        <w:t>202</w:t>
      </w:r>
      <w:r>
        <w:rPr>
          <w:rFonts w:hint="eastAsia" w:ascii="仿宋_GB2312" w:eastAsia="仿宋_GB2312"/>
          <w:sz w:val="28"/>
          <w:szCs w:val="28"/>
          <w:lang w:val="en-US" w:eastAsia="zh-CN"/>
        </w:rPr>
        <w:t>5</w:t>
      </w:r>
      <w:r>
        <w:rPr>
          <w:rFonts w:hint="eastAsia" w:ascii="仿宋_GB2312" w:eastAsia="仿宋_GB2312"/>
          <w:sz w:val="28"/>
          <w:szCs w:val="28"/>
        </w:rPr>
        <w:t>年</w:t>
      </w:r>
      <w:r>
        <w:rPr>
          <w:rFonts w:hint="eastAsia" w:ascii="仿宋_GB2312" w:eastAsia="仿宋_GB2312"/>
          <w:sz w:val="28"/>
          <w:szCs w:val="28"/>
          <w:lang w:val="en-US" w:eastAsia="zh-CN"/>
        </w:rPr>
        <w:t>5</w:t>
      </w:r>
      <w:r>
        <w:rPr>
          <w:rFonts w:hint="eastAsia" w:ascii="仿宋_GB2312" w:eastAsia="仿宋_GB2312"/>
          <w:sz w:val="28"/>
          <w:szCs w:val="28"/>
        </w:rPr>
        <w:t>月</w:t>
      </w:r>
      <w:r>
        <w:rPr>
          <w:rFonts w:hint="eastAsia" w:ascii="仿宋_GB2312" w:eastAsia="仿宋_GB2312"/>
          <w:sz w:val="28"/>
          <w:szCs w:val="28"/>
          <w:lang w:val="en-US" w:eastAsia="zh-CN"/>
        </w:rPr>
        <w:t>20</w:t>
      </w:r>
      <w:r>
        <w:rPr>
          <w:rFonts w:hint="eastAsia" w:ascii="仿宋_GB2312" w:eastAsia="仿宋_GB2312"/>
          <w:sz w:val="28"/>
          <w:szCs w:val="28"/>
        </w:rPr>
        <w:t>日印</w:t>
      </w:r>
    </w:p>
    <w:sectPr>
      <w:footerReference r:id="rId3" w:type="even"/>
      <w:pgSz w:w="11907" w:h="17010"/>
      <w:pgMar w:top="2098" w:right="1474" w:bottom="1985" w:left="1588" w:header="851" w:footer="153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auto"/>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黑体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
    <w:altName w:val="AR PL UKai CN"/>
    <w:panose1 w:val="00000000000000000000"/>
    <w:charset w:val="00"/>
    <w:family w:val="roman"/>
    <w:pitch w:val="default"/>
    <w:sig w:usb0="00000000" w:usb1="00000000" w:usb2="00000000" w:usb3="00000000" w:csb0="00040001" w:csb1="00000000"/>
  </w:font>
  <w:font w:name="AR PL UKai CN">
    <w:panose1 w:val="02000503000000000000"/>
    <w:charset w:val="86"/>
    <w:family w:val="auto"/>
    <w:pitch w:val="default"/>
    <w:sig w:usb0="A00002FF" w:usb1="3ACFFDFF" w:usb2="00000036" w:usb3="00000000" w:csb0="2016009F" w:csb1="DFD70000"/>
  </w:font>
  <w:font w:name="新宋体">
    <w:altName w:val="方正书宋_GBK"/>
    <w:panose1 w:val="02010609030101010101"/>
    <w:charset w:val="86"/>
    <w:family w:val="modern"/>
    <w:pitch w:val="default"/>
    <w:sig w:usb0="00000000" w:usb1="00000000" w:usb2="00000006" w:usb3="00000000" w:csb0="00040001" w:csb1="00000000"/>
  </w:font>
  <w:font w:name="华文中宋">
    <w:altName w:val="方正书宋_GBK"/>
    <w:panose1 w:val="02010600040101010101"/>
    <w:charset w:val="86"/>
    <w:family w:val="auto"/>
    <w:pitch w:val="default"/>
    <w:sig w:usb0="00000000" w:usb1="00000000" w:usb2="00000000" w:usb3="00000000" w:csb0="0004009F" w:csb1="DFD7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left="315" w:leftChars="150" w:right="315" w:rightChars="150"/>
      <w:jc w:val="both"/>
      <w:rPr>
        <w:rFonts w:ascii="宋体" w:hAnsi="宋体"/>
        <w:sz w:val="30"/>
        <w:szCs w:val="30"/>
      </w:rPr>
    </w:pPr>
    <w:r>
      <w:rPr>
        <w:rFonts w:hint="eastAsia" w:ascii="宋体" w:hAnsi="宋体"/>
        <w:sz w:val="30"/>
        <w:szCs w:val="30"/>
      </w:rPr>
      <w:t xml:space="preserve">― </w:t>
    </w:r>
    <w:r>
      <w:rPr>
        <w:rFonts w:hint="eastAsia" w:ascii="宋体" w:hAnsi="宋体"/>
        <w:sz w:val="30"/>
        <w:szCs w:val="30"/>
      </w:rPr>
      <w:fldChar w:fldCharType="begin"/>
    </w:r>
    <w:r>
      <w:rPr>
        <w:rFonts w:hint="eastAsia" w:ascii="宋体" w:hAnsi="宋体"/>
        <w:sz w:val="30"/>
        <w:szCs w:val="30"/>
      </w:rPr>
      <w:instrText xml:space="preserve"> PAGE </w:instrText>
    </w:r>
    <w:r>
      <w:rPr>
        <w:rFonts w:hint="eastAsia" w:ascii="宋体" w:hAnsi="宋体"/>
        <w:sz w:val="30"/>
        <w:szCs w:val="30"/>
      </w:rPr>
      <w:fldChar w:fldCharType="separate"/>
    </w:r>
    <w:r>
      <w:rPr>
        <w:rFonts w:ascii="宋体" w:hAnsi="宋体"/>
        <w:sz w:val="30"/>
        <w:szCs w:val="30"/>
      </w:rPr>
      <w:t>2</w:t>
    </w:r>
    <w:r>
      <w:rPr>
        <w:rFonts w:hint="eastAsia" w:ascii="宋体" w:hAnsi="宋体"/>
        <w:sz w:val="30"/>
        <w:szCs w:val="30"/>
      </w:rPr>
      <w:fldChar w:fldCharType="end"/>
    </w:r>
    <w:r>
      <w:rPr>
        <w:rFonts w:hint="eastAsia" w:ascii="宋体" w:hAnsi="宋体"/>
        <w:sz w:val="30"/>
        <w:szCs w:val="30"/>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825FD0"/>
    <w:multiLevelType w:val="singleLevel"/>
    <w:tmpl w:val="A1825FD0"/>
    <w:lvl w:ilvl="0" w:tentative="0">
      <w:start w:val="2"/>
      <w:numFmt w:val="chineseCounting"/>
      <w:suff w:val="nothing"/>
      <w:lvlText w:val="（%1）"/>
      <w:lvlJc w:val="left"/>
      <w:rPr>
        <w:rFonts w:hint="eastAsia"/>
      </w:rPr>
    </w:lvl>
  </w:abstractNum>
  <w:abstractNum w:abstractNumId="1">
    <w:nsid w:val="E6857523"/>
    <w:multiLevelType w:val="singleLevel"/>
    <w:tmpl w:val="E6857523"/>
    <w:lvl w:ilvl="0" w:tentative="0">
      <w:start w:val="2"/>
      <w:numFmt w:val="chineseCounting"/>
      <w:suff w:val="nothing"/>
      <w:lvlText w:val="（%1）"/>
      <w:lvlJc w:val="left"/>
      <w:rPr>
        <w:rFonts w:hint="eastAsia"/>
      </w:rPr>
    </w:lvl>
  </w:abstractNum>
  <w:abstractNum w:abstractNumId="2">
    <w:nsid w:val="ECB34FCB"/>
    <w:multiLevelType w:val="singleLevel"/>
    <w:tmpl w:val="ECB34FCB"/>
    <w:lvl w:ilvl="0" w:tentative="0">
      <w:start w:val="3"/>
      <w:numFmt w:val="chineseCounting"/>
      <w:suff w:val="nothing"/>
      <w:lvlText w:val="（%1）"/>
      <w:lvlJc w:val="left"/>
      <w:pPr>
        <w:ind w:left="-10"/>
      </w:pPr>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attachedTemplate r:id="rId1"/>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3ZjRlNDcxMGM3ZTIwNjk2NTllYjNmMWUxZDQzYzIifQ=="/>
  </w:docVars>
  <w:rsids>
    <w:rsidRoot w:val="003E28AB"/>
    <w:rsid w:val="000313C5"/>
    <w:rsid w:val="0005691A"/>
    <w:rsid w:val="00060809"/>
    <w:rsid w:val="0008343D"/>
    <w:rsid w:val="000D2889"/>
    <w:rsid w:val="00121037"/>
    <w:rsid w:val="00130C2E"/>
    <w:rsid w:val="00132A4B"/>
    <w:rsid w:val="00134692"/>
    <w:rsid w:val="0019433E"/>
    <w:rsid w:val="001E3CA4"/>
    <w:rsid w:val="001E532D"/>
    <w:rsid w:val="002107D3"/>
    <w:rsid w:val="00263D4F"/>
    <w:rsid w:val="00267874"/>
    <w:rsid w:val="00276BF6"/>
    <w:rsid w:val="002A67C1"/>
    <w:rsid w:val="002B6B2C"/>
    <w:rsid w:val="002D2AEA"/>
    <w:rsid w:val="002E2950"/>
    <w:rsid w:val="00324ED7"/>
    <w:rsid w:val="00327512"/>
    <w:rsid w:val="00330B1D"/>
    <w:rsid w:val="00372878"/>
    <w:rsid w:val="003A255E"/>
    <w:rsid w:val="003B5246"/>
    <w:rsid w:val="003C4F6C"/>
    <w:rsid w:val="003C55B1"/>
    <w:rsid w:val="003D1848"/>
    <w:rsid w:val="003E28AB"/>
    <w:rsid w:val="003E59EA"/>
    <w:rsid w:val="004B3ED2"/>
    <w:rsid w:val="004C662B"/>
    <w:rsid w:val="00546FE8"/>
    <w:rsid w:val="0056277D"/>
    <w:rsid w:val="005705D6"/>
    <w:rsid w:val="0057571B"/>
    <w:rsid w:val="0059163B"/>
    <w:rsid w:val="005E16A6"/>
    <w:rsid w:val="00611264"/>
    <w:rsid w:val="006350DC"/>
    <w:rsid w:val="006617D0"/>
    <w:rsid w:val="006645A1"/>
    <w:rsid w:val="006B63E9"/>
    <w:rsid w:val="007238A1"/>
    <w:rsid w:val="007356DF"/>
    <w:rsid w:val="00742B93"/>
    <w:rsid w:val="00744A60"/>
    <w:rsid w:val="007C6C64"/>
    <w:rsid w:val="007D121D"/>
    <w:rsid w:val="007D4A33"/>
    <w:rsid w:val="007D4FF4"/>
    <w:rsid w:val="00822DFA"/>
    <w:rsid w:val="00845A67"/>
    <w:rsid w:val="00855491"/>
    <w:rsid w:val="008576FE"/>
    <w:rsid w:val="00863EFA"/>
    <w:rsid w:val="008839AF"/>
    <w:rsid w:val="00894AEA"/>
    <w:rsid w:val="008958EB"/>
    <w:rsid w:val="008A69DA"/>
    <w:rsid w:val="008E0B1E"/>
    <w:rsid w:val="008F4501"/>
    <w:rsid w:val="009146B1"/>
    <w:rsid w:val="00941FB6"/>
    <w:rsid w:val="00946217"/>
    <w:rsid w:val="009803E7"/>
    <w:rsid w:val="009A6C3C"/>
    <w:rsid w:val="009C2CB5"/>
    <w:rsid w:val="00A74311"/>
    <w:rsid w:val="00AB00B5"/>
    <w:rsid w:val="00AB69DB"/>
    <w:rsid w:val="00AD6146"/>
    <w:rsid w:val="00AE17C3"/>
    <w:rsid w:val="00AF2240"/>
    <w:rsid w:val="00B02D2B"/>
    <w:rsid w:val="00B647C3"/>
    <w:rsid w:val="00B87748"/>
    <w:rsid w:val="00BC5A72"/>
    <w:rsid w:val="00C65602"/>
    <w:rsid w:val="00C738DA"/>
    <w:rsid w:val="00CA48E6"/>
    <w:rsid w:val="00CC05BD"/>
    <w:rsid w:val="00D0743E"/>
    <w:rsid w:val="00D508B9"/>
    <w:rsid w:val="00DF4911"/>
    <w:rsid w:val="00E17DD5"/>
    <w:rsid w:val="00E30327"/>
    <w:rsid w:val="00E60171"/>
    <w:rsid w:val="00E64F86"/>
    <w:rsid w:val="00E83D19"/>
    <w:rsid w:val="00EA4C38"/>
    <w:rsid w:val="00EB1343"/>
    <w:rsid w:val="00EB7997"/>
    <w:rsid w:val="00F13FC9"/>
    <w:rsid w:val="00F449E2"/>
    <w:rsid w:val="00F7138E"/>
    <w:rsid w:val="00FB05B4"/>
    <w:rsid w:val="00FF0EED"/>
    <w:rsid w:val="02402EC0"/>
    <w:rsid w:val="05524952"/>
    <w:rsid w:val="06E445EA"/>
    <w:rsid w:val="07A735CC"/>
    <w:rsid w:val="0BA614B9"/>
    <w:rsid w:val="14F13869"/>
    <w:rsid w:val="1BB9554D"/>
    <w:rsid w:val="204B6033"/>
    <w:rsid w:val="20A52875"/>
    <w:rsid w:val="236B0C61"/>
    <w:rsid w:val="25B03DE2"/>
    <w:rsid w:val="295A7167"/>
    <w:rsid w:val="2D9646EE"/>
    <w:rsid w:val="318C4BC4"/>
    <w:rsid w:val="33664FA1"/>
    <w:rsid w:val="38C47F2F"/>
    <w:rsid w:val="45015701"/>
    <w:rsid w:val="47DB040C"/>
    <w:rsid w:val="495B3342"/>
    <w:rsid w:val="49620FF1"/>
    <w:rsid w:val="4AD22143"/>
    <w:rsid w:val="4F2D1A89"/>
    <w:rsid w:val="53B62910"/>
    <w:rsid w:val="55BA5C3A"/>
    <w:rsid w:val="5835551B"/>
    <w:rsid w:val="6AC00E5F"/>
    <w:rsid w:val="72BF1FCE"/>
    <w:rsid w:val="74367B7D"/>
    <w:rsid w:val="754077FF"/>
    <w:rsid w:val="7AB27FC7"/>
    <w:rsid w:val="DFFF58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qFormat="1"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iPriority="0" w:name="Note Heading"/>
    <w:lsdException w:uiPriority="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4"/>
    <w:basedOn w:val="1"/>
    <w:next w:val="1"/>
    <w:unhideWhenUsed/>
    <w:qFormat/>
    <w:uiPriority w:val="9"/>
    <w:pPr>
      <w:keepNext/>
      <w:keepLines/>
      <w:jc w:val="left"/>
      <w:outlineLvl w:val="3"/>
    </w:pPr>
    <w:rPr>
      <w:rFonts w:asciiTheme="majorHAnsi" w:hAnsiTheme="majorHAnsi" w:cstheme="majorBidi"/>
      <w:bCs/>
      <w:szCs w:val="28"/>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5">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6">
    <w:name w:val="Body Text Indent"/>
    <w:basedOn w:val="1"/>
    <w:qFormat/>
    <w:uiPriority w:val="0"/>
    <w:pPr>
      <w:ind w:firstLine="4680" w:firstLineChars="1300"/>
    </w:pPr>
    <w:rPr>
      <w:rFonts w:eastAsia="仿宋_GB2312"/>
      <w:b/>
      <w:bCs/>
      <w:sz w:val="36"/>
    </w:rPr>
  </w:style>
  <w:style w:type="paragraph" w:styleId="7">
    <w:name w:val="Plain Text"/>
    <w:basedOn w:val="1"/>
    <w:qFormat/>
    <w:uiPriority w:val="0"/>
    <w:pPr>
      <w:widowControl w:val="0"/>
      <w:jc w:val="both"/>
    </w:pPr>
    <w:rPr>
      <w:rFonts w:hAnsi="Courier New" w:cs="Courier New"/>
      <w:kern w:val="2"/>
      <w:sz w:val="21"/>
      <w:szCs w:val="21"/>
    </w:rPr>
  </w:style>
  <w:style w:type="paragraph" w:styleId="8">
    <w:name w:val="Date"/>
    <w:basedOn w:val="1"/>
    <w:next w:val="1"/>
    <w:qFormat/>
    <w:uiPriority w:val="0"/>
  </w:style>
  <w:style w:type="paragraph" w:styleId="9">
    <w:name w:val="Body Text Indent 2"/>
    <w:basedOn w:val="1"/>
    <w:qFormat/>
    <w:uiPriority w:val="0"/>
    <w:pPr>
      <w:spacing w:before="240"/>
      <w:ind w:firstLine="720" w:firstLineChars="225"/>
    </w:pPr>
    <w:rPr>
      <w:rFonts w:ascii="仿宋_GB2312" w:eastAsia="仿宋_GB2312"/>
      <w:sz w:val="32"/>
      <w:szCs w:val="32"/>
    </w:rPr>
  </w:style>
  <w:style w:type="paragraph" w:styleId="10">
    <w:name w:val="Balloon Text"/>
    <w:basedOn w:val="1"/>
    <w:link w:val="21"/>
    <w:semiHidden/>
    <w:unhideWhenUsed/>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Indent 3"/>
    <w:basedOn w:val="1"/>
    <w:qFormat/>
    <w:uiPriority w:val="0"/>
    <w:pPr>
      <w:ind w:firstLine="640" w:firstLineChars="200"/>
    </w:pPr>
    <w:rPr>
      <w:rFonts w:ascii="仿宋_GB2312" w:eastAsia="仿宋_GB2312"/>
      <w:sz w:val="32"/>
    </w:rPr>
  </w:style>
  <w:style w:type="paragraph" w:styleId="14">
    <w:name w:val="table of figures"/>
    <w:basedOn w:val="1"/>
    <w:next w:val="1"/>
    <w:unhideWhenUsed/>
    <w:qFormat/>
    <w:uiPriority w:val="99"/>
    <w:pPr>
      <w:ind w:left="200" w:leftChars="200" w:hanging="200" w:hangingChars="200"/>
    </w:pPr>
  </w:style>
  <w:style w:type="paragraph" w:styleId="15">
    <w:name w:val="Body Text First Indent 2"/>
    <w:basedOn w:val="6"/>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styleId="20">
    <w:name w:val="Hyperlink"/>
    <w:basedOn w:val="18"/>
    <w:qFormat/>
    <w:uiPriority w:val="0"/>
    <w:rPr>
      <w:color w:val="0000FF"/>
      <w:u w:val="single"/>
    </w:rPr>
  </w:style>
  <w:style w:type="character" w:customStyle="1" w:styleId="21">
    <w:name w:val="批注框文本 Char"/>
    <w:basedOn w:val="18"/>
    <w:link w:val="10"/>
    <w:semiHidden/>
    <w:qFormat/>
    <w:uiPriority w:val="0"/>
    <w:rPr>
      <w:kern w:val="2"/>
      <w:sz w:val="18"/>
      <w:szCs w:val="18"/>
    </w:rPr>
  </w:style>
  <w:style w:type="paragraph" w:customStyle="1" w:styleId="22">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ser/C:\Users\lenovo\Desktop\&#26032;&#24314;&#25991;&#20214;&#22841;%20(3)\2024&#24180;&#24029;&#30142;&#21457;&#65288;&#24179;&#34892;&#65289;.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2024年川疾发（平行）.dot</Template>
  <Pages>8</Pages>
  <Words>5222</Words>
  <Characters>5705</Characters>
  <Lines>46</Lines>
  <Paragraphs>13</Paragraphs>
  <TotalTime>11</TotalTime>
  <ScaleCrop>false</ScaleCrop>
  <LinksUpToDate>false</LinksUpToDate>
  <CharactersWithSpaces>5867</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2024-03-28T18:01:00Z</dcterms:created>
  <dc:creator>梁传惠</dc:creator>
  <cp:lastModifiedBy>user</cp:lastModifiedBy>
  <cp:lastPrinted>2024-12-27T19:39:00Z</cp:lastPrinted>
  <dcterms:modified xsi:type="dcterms:W3CDTF">2025-11-13T10:17:00Z</dcterms:modified>
  <dc:title>关于建立西南疾病预防控制培训基地的报告</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F43FA6931C1B4FC29A7732A7C64E8E97_13</vt:lpwstr>
  </property>
  <property fmtid="{D5CDD505-2E9C-101B-9397-08002B2CF9AE}" pid="4" name="KSOTemplateDocerSaveRecord">
    <vt:lpwstr>eyJoZGlkIjoiNGZkZDlkNjg5NWVkNWU2ZDNmZGZjYjczNjZmMTIwMmYiLCJ1c2VySWQiOiIzMjY5NjEzMjEifQ==</vt:lpwstr>
  </property>
</Properties>
</file>