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Cs w:val="32"/>
          <w:highlight w:val="none"/>
          <w:lang w:val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contextualSpacing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highlight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114935</wp:posOffset>
            </wp:positionH>
            <wp:positionV relativeFrom="paragraph">
              <wp:posOffset>193040</wp:posOffset>
            </wp:positionV>
            <wp:extent cx="5604510" cy="2792730"/>
            <wp:effectExtent l="0" t="0" r="15240" b="7620"/>
            <wp:wrapNone/>
            <wp:docPr id="1" name="图片 2" descr="红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红头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78" w:lineRule="exact"/>
        <w:ind w:firstLine="883" w:firstLineChars="200"/>
        <w:contextualSpacing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highlight w:val="none"/>
          <w:shd w:val="clear" w:color="auto" w:fill="FFFFFF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78" w:lineRule="exact"/>
        <w:ind w:firstLine="883" w:firstLineChars="200"/>
        <w:contextualSpacing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highlight w:val="none"/>
          <w:shd w:val="clear" w:color="auto" w:fill="FFFFFF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78" w:lineRule="exact"/>
        <w:ind w:firstLine="883" w:firstLineChars="200"/>
        <w:contextualSpacing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highlight w:val="none"/>
          <w:shd w:val="clear" w:color="auto" w:fill="FFFFFF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78" w:lineRule="exact"/>
        <w:ind w:firstLine="883" w:firstLineChars="200"/>
        <w:contextualSpacing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highlight w:val="none"/>
          <w:shd w:val="clear" w:color="auto" w:fill="FFFFFF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contextualSpacing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78" w:lineRule="exact"/>
        <w:contextualSpacing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78" w:lineRule="exact"/>
        <w:contextualSpacing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highlight w:val="none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黑疾控</w:t>
      </w:r>
      <w:r>
        <w:rPr>
          <w:rFonts w:hint="eastAsia" w:ascii="仿宋_GB2312" w:hAnsi="华文中宋" w:eastAsia="仿宋_GB2312"/>
          <w:sz w:val="32"/>
        </w:rPr>
        <w:t>〔</w:t>
      </w:r>
      <w:r>
        <w:rPr>
          <w:rFonts w:hint="eastAsia" w:ascii="仿宋_GB2312" w:hAnsi="华文中宋" w:eastAsia="仿宋_GB2312"/>
          <w:sz w:val="32"/>
          <w:lang w:val="en-US" w:eastAsia="zh-CN"/>
        </w:rPr>
        <w:t>2025</w:t>
      </w:r>
      <w:r>
        <w:rPr>
          <w:rFonts w:ascii="仿宋_GB2312" w:hAnsi="华文中宋" w:eastAsia="仿宋_GB2312"/>
          <w:sz w:val="32"/>
        </w:rPr>
        <w:t>〕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contextualSpacing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highlight w:val="none"/>
          <w:shd w:val="clear" w:color="auto" w:fill="FFFFFF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contextualSpacing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highlight w:val="none"/>
          <w:shd w:val="clear" w:color="auto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highlight w:val="none"/>
          <w:shd w:val="clear" w:color="auto" w:fill="FFFFFF"/>
          <w:lang w:eastAsia="zh-CN"/>
        </w:rPr>
        <w:t>黑水县疾病预防控制中心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contextualSpacing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highlight w:val="none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highlight w:val="none"/>
          <w:shd w:val="clear" w:color="auto" w:fill="FFFFFF"/>
          <w:lang w:val="en-US" w:eastAsia="zh-CN"/>
        </w:rPr>
        <w:t>2024年部门</w:t>
      </w:r>
      <w:r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highlight w:val="none"/>
          <w:shd w:val="clear" w:color="auto" w:fill="FFFFFF"/>
          <w:lang w:eastAsia="zh-CN"/>
        </w:rPr>
        <w:t>预算</w:t>
      </w:r>
      <w:r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highlight w:val="none"/>
          <w:shd w:val="clear" w:color="auto" w:fill="FFFFFF"/>
        </w:rPr>
        <w:t>绩效</w:t>
      </w:r>
      <w:r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highlight w:val="none"/>
          <w:shd w:val="clear" w:color="auto" w:fill="FFFFFF"/>
          <w:lang w:eastAsia="zh-CN"/>
        </w:rPr>
        <w:t>评价</w:t>
      </w:r>
      <w:r>
        <w:rPr>
          <w:rFonts w:hint="eastAsia" w:ascii="方正小标宋_GBK" w:hAnsi="方正小标宋_GBK" w:eastAsia="方正小标宋_GBK" w:cs="方正小标宋_GBK"/>
          <w:b/>
          <w:bCs w:val="0"/>
          <w:sz w:val="44"/>
          <w:szCs w:val="44"/>
          <w:highlight w:val="none"/>
          <w:shd w:val="clear" w:color="auto" w:fill="FFFFFF"/>
        </w:rPr>
        <w:t>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 w:val="24"/>
          <w:szCs w:val="32"/>
          <w:highlight w:val="none"/>
          <w:shd w:val="clear" w:color="auto" w:fill="FFFFFF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cs="Times New Roman"/>
          <w:szCs w:val="32"/>
        </w:rPr>
      </w:pPr>
      <w:r>
        <w:rPr>
          <w:rFonts w:hint="eastAsia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一、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val="zh-CN"/>
        </w:rPr>
        <w:t>部门（单位）基本情况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机构组成。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szCs w:val="32"/>
          <w:lang w:val="en-US" w:eastAsia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黑水县疾病预防控制中心为县卫生健康局直属的正科级事业单位（一级预算单位）。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contextualSpacing/>
        <w:jc w:val="left"/>
        <w:textAlignment w:val="auto"/>
        <w:outlineLvl w:val="9"/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（二）机构职能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Times New Roman" w:hAnsi="Times New Roman" w:cs="Times New Roman"/>
          <w:szCs w:val="32"/>
          <w:lang w:val="en-US" w:eastAsia="zh-CN"/>
        </w:rPr>
        <w:t>拟定疾病预防控制工作计划与方案，并组织实施；负责对影响人群生存环境、卫生质量的危险因素进行食品、职业、环境、放射、学校卫生等监测；组织对传染病、地方病、寄生虫病、慢性非传染性疾病、职业病、公害病、学生常见病及意外伤害、中毒等发生、分布和发展的规律进行流行病学监测与调查，并制定预防控制对策；负责对传染病的发生流行和中毒污染事件进行调查处理；为救灾防病和解决重大公共卫生问题提供技术支持；组织实施预防接种，负责预防用生物制品计划、使用与管理；负责人员培训；组织开展健康教育与健康促进参与社区卫生服务工作；承担卫生监督检测检验、预防性健康检查，对新建、改建、扩建建设项目的选址，设计和竣工验收进行卫生学评价；承担爱国卫生运动中与疾病预防控制有关的技术指导；承担疾病预防控制及有关公共卫生信息的报告、管理和预测、预报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textAlignment w:val="auto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三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）人员概况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eastAsia" w:ascii="Times New Roman" w:hAnsi="Times New Roman" w:cs="Times New Roman"/>
          <w:szCs w:val="32"/>
          <w:lang w:val="en-US" w:eastAsia="zh-CN"/>
        </w:rPr>
        <w:t>2024年12月31日，中心</w:t>
      </w:r>
      <w:r>
        <w:rPr>
          <w:rFonts w:hint="eastAsia" w:ascii="Times New Roman" w:hAnsi="Times New Roman" w:cs="Times New Roman"/>
          <w:szCs w:val="32"/>
          <w:lang w:val="zh-CN" w:eastAsia="zh-CN"/>
        </w:rPr>
        <w:t>编制</w:t>
      </w:r>
      <w:r>
        <w:rPr>
          <w:rFonts w:hint="eastAsia" w:cs="Times New Roman"/>
          <w:szCs w:val="32"/>
          <w:lang w:val="zh-CN" w:eastAsia="zh-CN"/>
        </w:rPr>
        <w:t>数</w:t>
      </w:r>
      <w:r>
        <w:rPr>
          <w:rFonts w:hint="eastAsia" w:ascii="Times New Roman" w:hAnsi="Times New Roman" w:cs="Times New Roman"/>
          <w:szCs w:val="32"/>
          <w:lang w:val="en-US" w:eastAsia="zh-CN"/>
        </w:rPr>
        <w:t>32</w:t>
      </w:r>
      <w:r>
        <w:rPr>
          <w:rFonts w:hint="eastAsia" w:ascii="Times New Roman" w:hAnsi="Times New Roman" w:cs="Times New Roman"/>
          <w:szCs w:val="32"/>
          <w:lang w:val="zh-CN" w:eastAsia="zh-CN"/>
        </w:rPr>
        <w:t>名，</w:t>
      </w:r>
      <w:r>
        <w:rPr>
          <w:rFonts w:hint="eastAsia" w:cs="Times New Roman"/>
          <w:szCs w:val="32"/>
          <w:lang w:val="zh-CN" w:eastAsia="zh-CN"/>
        </w:rPr>
        <w:t>其中：事业管理人员</w:t>
      </w:r>
      <w:r>
        <w:rPr>
          <w:rFonts w:hint="eastAsia" w:cs="Times New Roman"/>
          <w:szCs w:val="32"/>
          <w:lang w:val="en-US" w:eastAsia="zh-CN"/>
        </w:rPr>
        <w:t>3人，专技人员28人，事业工勤1人。</w:t>
      </w:r>
      <w:r>
        <w:rPr>
          <w:rFonts w:hint="eastAsia" w:cs="Times New Roman"/>
          <w:szCs w:val="32"/>
          <w:lang w:val="zh-CN" w:eastAsia="zh-CN"/>
        </w:rPr>
        <w:t>在编人员</w:t>
      </w:r>
      <w:r>
        <w:rPr>
          <w:rFonts w:hint="eastAsia" w:cs="Times New Roman"/>
          <w:szCs w:val="32"/>
          <w:lang w:val="en-US" w:eastAsia="zh-CN"/>
        </w:rPr>
        <w:t>30人，</w:t>
      </w:r>
      <w:r>
        <w:rPr>
          <w:rFonts w:hint="eastAsia" w:ascii="Times New Roman" w:hAnsi="Times New Roman" w:cs="Times New Roman"/>
          <w:szCs w:val="32"/>
          <w:lang w:val="zh-CN" w:eastAsia="zh-CN"/>
        </w:rPr>
        <w:t>其中：</w:t>
      </w:r>
      <w:r>
        <w:rPr>
          <w:rFonts w:hint="eastAsia" w:ascii="Times New Roman" w:hAnsi="Times New Roman" w:cs="Times New Roman"/>
          <w:szCs w:val="32"/>
          <w:lang w:val="en-US" w:eastAsia="zh-CN"/>
        </w:rPr>
        <w:t>事业</w:t>
      </w:r>
      <w:r>
        <w:rPr>
          <w:rFonts w:hint="eastAsia" w:cs="Times New Roman"/>
          <w:szCs w:val="32"/>
          <w:lang w:val="zh-CN" w:eastAsia="zh-CN"/>
        </w:rPr>
        <w:t>管理</w:t>
      </w:r>
      <w:r>
        <w:rPr>
          <w:rFonts w:hint="eastAsia" w:cs="Times New Roman"/>
          <w:szCs w:val="32"/>
          <w:lang w:val="en-US" w:eastAsia="zh-CN"/>
        </w:rPr>
        <w:t>2人</w:t>
      </w:r>
      <w:r>
        <w:rPr>
          <w:rFonts w:hint="eastAsia" w:ascii="Times New Roman" w:hAnsi="Times New Roman" w:cs="Times New Roman"/>
          <w:szCs w:val="32"/>
          <w:lang w:val="zh-CN" w:eastAsia="zh-CN"/>
        </w:rPr>
        <w:t>，</w:t>
      </w:r>
      <w:r>
        <w:rPr>
          <w:rFonts w:hint="eastAsia" w:cs="Times New Roman"/>
          <w:szCs w:val="32"/>
          <w:lang w:val="zh-CN" w:eastAsia="zh-CN"/>
        </w:rPr>
        <w:t>专技</w:t>
      </w:r>
      <w:r>
        <w:rPr>
          <w:rFonts w:hint="eastAsia" w:cs="Times New Roman"/>
          <w:szCs w:val="32"/>
          <w:lang w:val="en-US" w:eastAsia="zh-CN"/>
        </w:rPr>
        <w:t>27人，事业</w:t>
      </w:r>
      <w:r>
        <w:rPr>
          <w:rFonts w:hint="eastAsia" w:ascii="Times New Roman" w:hAnsi="Times New Roman" w:cs="Times New Roman"/>
          <w:szCs w:val="32"/>
          <w:lang w:val="zh-CN" w:eastAsia="zh-CN"/>
        </w:rPr>
        <w:t>工勤</w:t>
      </w:r>
      <w:r>
        <w:rPr>
          <w:rFonts w:hint="eastAsia" w:cs="Times New Roman"/>
          <w:szCs w:val="32"/>
          <w:lang w:val="en-US" w:eastAsia="zh-CN"/>
        </w:rPr>
        <w:t>1人</w:t>
      </w:r>
      <w:r>
        <w:rPr>
          <w:rFonts w:hint="eastAsia" w:ascii="Times New Roman" w:hAnsi="Times New Roman" w:cs="Times New Roman"/>
          <w:szCs w:val="32"/>
          <w:lang w:val="zh-CN"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zh-CN" w:eastAsia="zh-CN"/>
        </w:rPr>
        <w:t> 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二、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  <w:lang w:eastAsia="zh-CN"/>
        </w:rPr>
        <w:t>部门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资金收支情况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收入情况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cs="Times New Roman"/>
          <w:szCs w:val="32"/>
          <w:lang w:val="zh-CN" w:eastAsia="zh-CN"/>
        </w:rPr>
      </w:pPr>
      <w:r>
        <w:rPr>
          <w:rFonts w:hint="eastAsia" w:cs="Times New Roman"/>
          <w:szCs w:val="32"/>
          <w:lang w:val="en-US" w:eastAsia="zh-CN"/>
        </w:rPr>
        <w:t>2024</w:t>
      </w:r>
      <w:r>
        <w:rPr>
          <w:rFonts w:hint="default" w:ascii="Times New Roman" w:hAnsi="Times New Roman" w:cs="Times New Roman"/>
          <w:szCs w:val="32"/>
          <w:lang w:val="zh-CN" w:eastAsia="zh-CN"/>
        </w:rPr>
        <w:t>年度</w:t>
      </w:r>
      <w:r>
        <w:rPr>
          <w:rFonts w:hint="eastAsia" w:ascii="Times New Roman" w:hAnsi="Times New Roman" w:cs="Times New Roman"/>
          <w:szCs w:val="32"/>
          <w:lang w:val="en-US" w:eastAsia="zh-CN"/>
        </w:rPr>
        <w:t>一般公共预算财政拨款收入</w:t>
      </w:r>
      <w:r>
        <w:rPr>
          <w:rFonts w:hint="eastAsia" w:cs="Times New Roman"/>
          <w:szCs w:val="32"/>
          <w:lang w:val="en-US" w:eastAsia="zh-CN"/>
        </w:rPr>
        <w:t>年初预算数580.07</w:t>
      </w:r>
      <w:r>
        <w:rPr>
          <w:rFonts w:hint="default" w:ascii="Times New Roman" w:hAnsi="Times New Roman" w:cs="Times New Roman"/>
          <w:szCs w:val="32"/>
          <w:lang w:val="zh-CN" w:eastAsia="zh-CN"/>
        </w:rPr>
        <w:t>万元，其中：基本支出</w:t>
      </w:r>
      <w:r>
        <w:rPr>
          <w:rFonts w:hint="eastAsia" w:cs="Times New Roman"/>
          <w:szCs w:val="32"/>
          <w:lang w:val="en-US" w:eastAsia="zh-CN"/>
        </w:rPr>
        <w:t>567.59</w:t>
      </w:r>
      <w:r>
        <w:rPr>
          <w:rFonts w:hint="default" w:ascii="Times New Roman" w:hAnsi="Times New Roman" w:cs="Times New Roman"/>
          <w:szCs w:val="32"/>
          <w:lang w:val="zh-CN" w:eastAsia="zh-CN"/>
        </w:rPr>
        <w:t>万元，项目支出</w:t>
      </w:r>
      <w:r>
        <w:rPr>
          <w:rFonts w:hint="eastAsia" w:cs="Times New Roman"/>
          <w:szCs w:val="32"/>
          <w:lang w:val="en-US" w:eastAsia="zh-CN"/>
        </w:rPr>
        <w:t>12.48</w:t>
      </w:r>
      <w:r>
        <w:rPr>
          <w:rFonts w:hint="default" w:ascii="Times New Roman" w:hAnsi="Times New Roman" w:cs="Times New Roman"/>
          <w:szCs w:val="32"/>
          <w:lang w:val="zh-CN" w:eastAsia="zh-CN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/>
        </w:rPr>
      </w:pPr>
      <w:r>
        <w:rPr>
          <w:rFonts w:hint="eastAsia" w:cs="Times New Roman"/>
          <w:szCs w:val="32"/>
          <w:lang w:val="en-US" w:eastAsia="zh-CN"/>
        </w:rPr>
        <w:t>2024</w:t>
      </w:r>
      <w:r>
        <w:rPr>
          <w:rFonts w:hint="eastAsia" w:cs="Times New Roman"/>
          <w:szCs w:val="32"/>
          <w:lang w:val="zh-CN" w:eastAsia="zh-CN"/>
        </w:rPr>
        <w:t>年度</w:t>
      </w:r>
      <w:r>
        <w:rPr>
          <w:rFonts w:hint="eastAsia" w:ascii="Times New Roman" w:hAnsi="Times New Roman" w:cs="Times New Roman"/>
          <w:szCs w:val="32"/>
          <w:lang w:val="en-US" w:eastAsia="zh-CN"/>
        </w:rPr>
        <w:t>一般公共预算财政拨款收入</w:t>
      </w:r>
      <w:r>
        <w:rPr>
          <w:rFonts w:hint="eastAsia" w:cs="Times New Roman"/>
          <w:szCs w:val="32"/>
          <w:lang w:val="en-US" w:eastAsia="zh-CN"/>
        </w:rPr>
        <w:t>决算数1320.42万元，其中：</w:t>
      </w:r>
      <w:r>
        <w:rPr>
          <w:rFonts w:hint="default" w:ascii="Times New Roman" w:hAnsi="Times New Roman" w:cs="Times New Roman"/>
          <w:szCs w:val="32"/>
          <w:lang w:val="zh-CN" w:eastAsia="zh-CN"/>
        </w:rPr>
        <w:t>基本支出</w:t>
      </w:r>
      <w:r>
        <w:rPr>
          <w:rFonts w:hint="eastAsia" w:cs="Times New Roman"/>
          <w:szCs w:val="32"/>
          <w:lang w:val="en-US" w:eastAsia="zh-CN"/>
        </w:rPr>
        <w:t>660.81</w:t>
      </w:r>
      <w:r>
        <w:rPr>
          <w:rFonts w:hint="eastAsia" w:cs="Times New Roman"/>
          <w:szCs w:val="32"/>
          <w:lang w:val="zh-CN" w:eastAsia="zh-CN"/>
        </w:rPr>
        <w:t>万</w:t>
      </w:r>
      <w:r>
        <w:rPr>
          <w:rFonts w:hint="default" w:ascii="Times New Roman" w:hAnsi="Times New Roman" w:cs="Times New Roman"/>
          <w:szCs w:val="32"/>
          <w:lang w:val="zh-CN" w:eastAsia="zh-CN"/>
        </w:rPr>
        <w:t>元，项目支出</w:t>
      </w:r>
      <w:r>
        <w:rPr>
          <w:rFonts w:hint="eastAsia" w:cs="Times New Roman"/>
          <w:szCs w:val="32"/>
          <w:lang w:val="en-US" w:eastAsia="zh-CN"/>
        </w:rPr>
        <w:t>659.60</w:t>
      </w:r>
      <w:r>
        <w:rPr>
          <w:rFonts w:hint="default" w:ascii="Times New Roman" w:hAnsi="Times New Roman" w:cs="Times New Roman"/>
          <w:szCs w:val="32"/>
          <w:lang w:val="zh-CN" w:eastAsia="zh-CN"/>
        </w:rPr>
        <w:t>万元</w:t>
      </w:r>
      <w:r>
        <w:rPr>
          <w:rFonts w:hint="eastAsia" w:cs="Times New Roman"/>
          <w:szCs w:val="32"/>
          <w:lang w:val="zh-CN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二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支出情况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cs="Times New Roman"/>
          <w:szCs w:val="32"/>
          <w:lang w:val="en-US" w:eastAsia="zh-CN"/>
        </w:rPr>
      </w:pPr>
      <w:r>
        <w:rPr>
          <w:rFonts w:hint="eastAsia" w:cs="Times New Roman"/>
          <w:szCs w:val="32"/>
          <w:lang w:val="en-US" w:eastAsia="zh-CN"/>
        </w:rPr>
        <w:t>2024</w:t>
      </w:r>
      <w:r>
        <w:rPr>
          <w:rFonts w:hint="default" w:ascii="Times New Roman" w:hAnsi="Times New Roman" w:cs="Times New Roman"/>
          <w:szCs w:val="32"/>
          <w:lang w:val="zh-CN" w:eastAsia="zh-CN"/>
        </w:rPr>
        <w:t>年</w:t>
      </w:r>
      <w:r>
        <w:rPr>
          <w:rFonts w:hint="eastAsia" w:cs="Times New Roman"/>
          <w:szCs w:val="32"/>
          <w:lang w:val="zh-CN" w:eastAsia="zh-CN"/>
        </w:rPr>
        <w:t>年初预算支出项目（按功能分类）社会保障和就业支出</w:t>
      </w:r>
      <w:r>
        <w:rPr>
          <w:rFonts w:hint="eastAsia" w:cs="Times New Roman"/>
          <w:szCs w:val="32"/>
          <w:lang w:val="en-US" w:eastAsia="zh-CN"/>
        </w:rPr>
        <w:t>105.86</w:t>
      </w:r>
      <w:r>
        <w:rPr>
          <w:rFonts w:hint="eastAsia" w:cs="Times New Roman"/>
          <w:szCs w:val="32"/>
          <w:lang w:val="zh-CN" w:eastAsia="zh-CN"/>
        </w:rPr>
        <w:t>万元，卫生健康支出</w:t>
      </w:r>
      <w:r>
        <w:rPr>
          <w:rFonts w:hint="eastAsia" w:cs="Times New Roman"/>
          <w:szCs w:val="32"/>
          <w:lang w:val="en-US" w:eastAsia="zh-CN"/>
        </w:rPr>
        <w:t>421.28</w:t>
      </w:r>
      <w:r>
        <w:rPr>
          <w:rFonts w:hint="eastAsia" w:cs="Times New Roman"/>
          <w:szCs w:val="32"/>
          <w:lang w:val="zh-CN" w:eastAsia="zh-CN"/>
        </w:rPr>
        <w:t>万元，住房保障支出</w:t>
      </w:r>
      <w:r>
        <w:rPr>
          <w:rFonts w:hint="eastAsia" w:cs="Times New Roman"/>
          <w:szCs w:val="32"/>
          <w:lang w:val="en-US" w:eastAsia="zh-CN"/>
        </w:rPr>
        <w:t>52.93</w:t>
      </w:r>
      <w:r>
        <w:rPr>
          <w:rFonts w:hint="eastAsia" w:cs="Times New Roman"/>
          <w:szCs w:val="32"/>
          <w:lang w:val="zh-CN" w:eastAsia="zh-CN"/>
        </w:rPr>
        <w:t>万元；项目（按支出性质和经济分类）基本支出</w:t>
      </w:r>
      <w:r>
        <w:rPr>
          <w:rFonts w:hint="eastAsia" w:cs="Times New Roman"/>
          <w:szCs w:val="32"/>
          <w:lang w:val="en-US" w:eastAsia="zh-CN"/>
        </w:rPr>
        <w:t>567.59万元，项目支出12.48万元。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cs="Times New Roman"/>
          <w:szCs w:val="32"/>
          <w:lang w:val="zh-CN" w:eastAsia="zh-CN"/>
        </w:rPr>
      </w:pPr>
      <w:r>
        <w:rPr>
          <w:rFonts w:hint="eastAsia" w:cs="Times New Roman"/>
          <w:szCs w:val="32"/>
          <w:lang w:val="en-US" w:eastAsia="zh-CN"/>
        </w:rPr>
        <w:t>2024</w:t>
      </w:r>
      <w:r>
        <w:rPr>
          <w:rFonts w:hint="default" w:ascii="Times New Roman" w:hAnsi="Times New Roman" w:cs="Times New Roman"/>
          <w:szCs w:val="32"/>
          <w:lang w:val="zh-CN" w:eastAsia="zh-CN"/>
        </w:rPr>
        <w:t>年</w:t>
      </w:r>
      <w:r>
        <w:rPr>
          <w:rFonts w:hint="eastAsia" w:cs="Times New Roman"/>
          <w:szCs w:val="32"/>
          <w:lang w:val="zh-CN" w:eastAsia="zh-CN"/>
        </w:rPr>
        <w:t>决算报表支出项目（按功能分类）社会保障和就业支出</w:t>
      </w:r>
      <w:r>
        <w:rPr>
          <w:rFonts w:hint="eastAsia" w:cs="Times New Roman"/>
          <w:szCs w:val="32"/>
          <w:lang w:val="en-US" w:eastAsia="zh-CN"/>
        </w:rPr>
        <w:t>92.49</w:t>
      </w:r>
      <w:r>
        <w:rPr>
          <w:rFonts w:hint="eastAsia" w:cs="Times New Roman"/>
          <w:szCs w:val="32"/>
          <w:lang w:val="zh-CN" w:eastAsia="zh-CN"/>
        </w:rPr>
        <w:t>万元，卫生健康支出</w:t>
      </w:r>
      <w:r>
        <w:rPr>
          <w:rFonts w:hint="eastAsia" w:cs="Times New Roman"/>
          <w:szCs w:val="32"/>
          <w:lang w:val="en-US" w:eastAsia="zh-CN"/>
        </w:rPr>
        <w:t>1177.50</w:t>
      </w:r>
      <w:r>
        <w:rPr>
          <w:rFonts w:hint="eastAsia" w:cs="Times New Roman"/>
          <w:szCs w:val="32"/>
          <w:lang w:val="zh-CN" w:eastAsia="zh-CN"/>
        </w:rPr>
        <w:t>万元，住房保障支出</w:t>
      </w:r>
      <w:r>
        <w:rPr>
          <w:rFonts w:hint="eastAsia" w:cs="Times New Roman"/>
          <w:szCs w:val="32"/>
          <w:lang w:val="en-US" w:eastAsia="zh-CN"/>
        </w:rPr>
        <w:t>50.43</w:t>
      </w:r>
      <w:r>
        <w:rPr>
          <w:rFonts w:hint="eastAsia" w:cs="Times New Roman"/>
          <w:szCs w:val="32"/>
          <w:lang w:val="zh-CN" w:eastAsia="zh-CN"/>
        </w:rPr>
        <w:t>万元；项目（按支出性质和经济分类）基本支出</w:t>
      </w:r>
      <w:r>
        <w:rPr>
          <w:rFonts w:hint="eastAsia" w:cs="Times New Roman"/>
          <w:szCs w:val="32"/>
          <w:lang w:val="en-US" w:eastAsia="zh-CN"/>
        </w:rPr>
        <w:t>660.81万元，项目支出659.60万元。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b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szCs w:val="32"/>
        </w:rPr>
        <w:t>结余分配和结转结余情况</w:t>
      </w:r>
      <w:r>
        <w:rPr>
          <w:rFonts w:hint="eastAsia" w:ascii="Times New Roman" w:hAnsi="Times New Roman" w:eastAsia="楷体_GB2312" w:cs="Times New Roman"/>
          <w:b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cs="Times New Roman"/>
          <w:szCs w:val="32"/>
          <w:lang w:val="en-US" w:eastAsia="zh-CN"/>
        </w:rPr>
        <w:t>2024年</w:t>
      </w:r>
      <w:r>
        <w:rPr>
          <w:rFonts w:hint="eastAsia" w:ascii="Times New Roman" w:hAnsi="Times New Roman" w:cs="Times New Roman"/>
          <w:szCs w:val="32"/>
          <w:lang w:val="en-US" w:eastAsia="zh-CN"/>
        </w:rPr>
        <w:t>决算报表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结转结</w:t>
      </w:r>
      <w:r>
        <w:rPr>
          <w:rFonts w:hint="eastAsia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余0万元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000000" w:themeColor="text1"/>
          <w:kern w:val="0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shd w:val="clear" w:color="auto" w:fill="FFFFFF"/>
        </w:rPr>
        <w:t>三、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部门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预算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</w:rPr>
        <w:t>绩效</w:t>
      </w:r>
      <w:r>
        <w:rPr>
          <w:rFonts w:hint="default" w:ascii="Times New Roman" w:hAnsi="Times New Roman" w:eastAsia="黑体" w:cs="Times New Roman"/>
          <w:color w:val="000000"/>
          <w:kern w:val="0"/>
          <w:szCs w:val="32"/>
          <w:highlight w:val="none"/>
          <w:u w:val="none"/>
          <w:shd w:val="clear" w:color="auto" w:fill="FFFFFF"/>
          <w:lang w:eastAsia="zh-CN"/>
        </w:rPr>
        <w:t>分析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contextualSpacing/>
        <w:jc w:val="left"/>
        <w:textAlignment w:val="auto"/>
        <w:outlineLvl w:val="9"/>
        <w:rPr>
          <w:rFonts w:hint="eastAsia" w:ascii="Times New Roman" w:hAnsi="Times New Roman" w:eastAsia="楷体_GB2312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部门预算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总体绩效分析。</w:t>
      </w:r>
      <w:r>
        <w:rPr>
          <w:rFonts w:hint="eastAsia" w:eastAsia="楷体_GB2312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(59分）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履职效能（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15分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基本公共卫生服务（分值</w:t>
      </w:r>
      <w:r>
        <w:rPr>
          <w:rFonts w:hint="eastAsia" w:cs="Times New Roman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  <w:t>5分</w:t>
      </w:r>
      <w:r>
        <w:rPr>
          <w:rFonts w:hint="eastAsia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）：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加强重点地方病防治监测体系建设，继续开展全覆盖监测，评价防治效果。强化病人救治，科学开展地方病病人对症治疗。加强地方病防治宣传教育，引导群众形成健康的生产生活方式，提高群众防病意识，有效减少地方病发生。</w:t>
      </w:r>
      <w:r>
        <w:rPr>
          <w:rFonts w:hint="eastAsia"/>
          <w:lang w:val="en-US" w:eastAsia="zh-CN"/>
        </w:rPr>
        <w:t>该项指标得分=年终完成履职效果目标数量÷年初目标设置总数×100%×指标分值=3÷3×100%×5=5分。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重大公共卫生服务</w:t>
      </w:r>
      <w:r>
        <w:rPr>
          <w:rFonts w:hint="eastAsia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（分值</w:t>
      </w:r>
      <w:r>
        <w:rPr>
          <w:rFonts w:hint="eastAsia" w:cs="Times New Roman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  <w:t>5分</w:t>
      </w:r>
      <w:r>
        <w:rPr>
          <w:rFonts w:hint="eastAsia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）</w:t>
      </w:r>
      <w:r>
        <w:rPr>
          <w:rFonts w:hint="eastAsia"/>
          <w:lang w:val="en-US" w:eastAsia="zh-CN"/>
        </w:rPr>
        <w:t>：为0-6岁适龄儿童进行常规接种，开展重点传染病及危险因素监测。健全完善慢性病及其危险因素监测网络，以慢性病综合防控示范区和全民健康生活方式行动为抓手，加强慢性病防控能力建设。加强严重精神障碍患者管理。进一步完善“政府组织领导、部门各负其责、全社会共同参与”的防治机制，全面落实各项艾滋病和性病预防控制措施，提高发生率，扩大治疗覆盖面，提升治疗成功率，降低死亡率，降低新发感染，提高感染者和病人的生活质量。及时发现和规范治疗管理结核病患者，持续降低结核病的感染、发病与死亡，确保结核病疫情稳步下降，提高群众健康水平。全面开展包虫病综合防治，提升我县包虫病防治成效。加强麻风病症状、高危人群、现症病人、疫点监测，强化病例发现，进一步落实麻风病控制策略和措施，消除传染源，减少麻风病危害。强化疟疾监测，及时报告并规范处置疟疾病例；开展食源性寄生虫病监测和防治，有效控制流行程度；开展黑热病监测，减少黑热病新发病例发生。该项指标得分=年终完成履职效果目标数量÷年初目标设置总数×100%×指标分值=4÷4×100%×5=5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其他卫生健康服务</w:t>
      </w:r>
      <w:r>
        <w:rPr>
          <w:rFonts w:hint="eastAsia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（分值</w:t>
      </w:r>
      <w:r>
        <w:rPr>
          <w:rFonts w:hint="eastAsia" w:cs="Times New Roman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  <w:t>5分</w:t>
      </w:r>
      <w:r>
        <w:rPr>
          <w:rFonts w:hint="eastAsia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）：开展202</w:t>
      </w:r>
      <w:r>
        <w:rPr>
          <w:rFonts w:hint="eastAsia" w:cs="Times New Roman"/>
          <w:b w:val="0"/>
          <w:kern w:val="2"/>
          <w:sz w:val="32"/>
          <w:szCs w:val="32"/>
          <w:highlight w:val="none"/>
          <w:u w:val="none"/>
          <w:lang w:val="en-US" w:eastAsia="zh-CN" w:bidi="ar-SA"/>
        </w:rPr>
        <w:t>4</w:t>
      </w:r>
      <w:r>
        <w:rPr>
          <w:rFonts w:hint="eastAsia" w:cs="Times New Roman"/>
          <w:b w:val="0"/>
          <w:kern w:val="2"/>
          <w:sz w:val="32"/>
          <w:szCs w:val="32"/>
          <w:highlight w:val="none"/>
          <w:u w:val="none"/>
          <w:lang w:val="zh-CN" w:eastAsia="zh-CN" w:bidi="ar-SA"/>
        </w:rPr>
        <w:t>年度严重精神障碍患者监护人“以奖代补”州、县级补助工作，在一个奖补年度内，监护人监护责任评估合格，且被监护人未发生肇事肇祸行为的，予以发放年度“以奖代补”监护补贴。</w:t>
      </w:r>
      <w:r>
        <w:rPr>
          <w:rFonts w:hint="eastAsia"/>
          <w:lang w:val="en-US" w:eastAsia="zh-CN"/>
        </w:rPr>
        <w:t>该项指标得分=年终完成履职效果目标数量÷年初目标设置总数×100%×指标分值=2÷2×100%×5=5分。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预算管理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（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22分</w:t>
      </w:r>
      <w:r>
        <w:rPr>
          <w:rFonts w:hint="eastAsia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）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/>
          <w:color w:val="auto"/>
          <w:lang w:val="zh-CN" w:eastAsia="zh-CN"/>
        </w:rPr>
        <w:t>预算编制质量（</w:t>
      </w:r>
      <w:r>
        <w:rPr>
          <w:rFonts w:hint="eastAsia"/>
          <w:color w:val="auto"/>
          <w:lang w:val="en-US" w:eastAsia="zh-CN"/>
        </w:rPr>
        <w:t>8分</w:t>
      </w:r>
      <w:r>
        <w:rPr>
          <w:rFonts w:hint="eastAsia"/>
          <w:color w:val="auto"/>
          <w:lang w:val="zh-CN" w:eastAsia="zh-CN"/>
        </w:rPr>
        <w:t>）</w:t>
      </w:r>
      <w:r>
        <w:rPr>
          <w:rFonts w:hint="eastAsia"/>
          <w:color w:val="auto"/>
          <w:lang w:val="en-US" w:eastAsia="zh-CN"/>
        </w:rPr>
        <w:t>:</w:t>
      </w:r>
      <w:r>
        <w:rPr>
          <w:rFonts w:hint="eastAsia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该项指标得分=（1-财政拨款预算偏离度）×100%×4+（1-资产配置预算偏离度）×100%×2+（1-政府采购预算偏离度）×100%×2</w:t>
      </w:r>
      <w:r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=（1-0）×100%×4+（1-0）×100%×2+（1-0）×100%×2=8分。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/>
          <w:color w:val="FF0000"/>
          <w:lang w:val="en-US" w:eastAsia="zh-CN"/>
        </w:rPr>
      </w:pPr>
      <w:r>
        <w:rPr>
          <w:rFonts w:hint="eastAsia"/>
          <w:color w:val="auto"/>
          <w:lang w:val="en-US" w:eastAsia="zh-CN"/>
        </w:rPr>
        <w:t>单位收入统筹</w:t>
      </w:r>
      <w:r>
        <w:rPr>
          <w:rFonts w:hint="eastAsia"/>
          <w:color w:val="auto"/>
          <w:lang w:val="zh-CN" w:eastAsia="zh-CN"/>
        </w:rPr>
        <w:t>（</w:t>
      </w:r>
      <w:r>
        <w:rPr>
          <w:rFonts w:hint="eastAsia"/>
          <w:color w:val="auto"/>
          <w:lang w:val="en-US" w:eastAsia="zh-CN"/>
        </w:rPr>
        <w:t>4分</w:t>
      </w:r>
      <w:r>
        <w:rPr>
          <w:rFonts w:hint="eastAsia"/>
          <w:color w:val="auto"/>
          <w:lang w:val="zh-CN" w:eastAsia="zh-CN"/>
        </w:rPr>
        <w:t>）：该项指标得分=（部门自有收入全年执行数÷部门自有收入年初预算数）×100%×2+（财政核定的综合补助比例÷按实际执行测算的综合补助比例）×100%×2</w:t>
      </w:r>
      <w:r>
        <w:rPr>
          <w:rFonts w:hint="eastAsia"/>
          <w:color w:val="auto"/>
          <w:lang w:val="en-US" w:eastAsia="zh-CN"/>
        </w:rPr>
        <w:t>=（0÷0）×100%×2+（0÷0）×100%×2=4分。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支出执行进度</w:t>
      </w:r>
      <w:r>
        <w:rPr>
          <w:rFonts w:hint="eastAsia"/>
          <w:color w:val="auto"/>
          <w:lang w:val="zh-CN" w:eastAsia="zh-CN"/>
        </w:rPr>
        <w:t>（</w:t>
      </w:r>
      <w:r>
        <w:rPr>
          <w:rFonts w:hint="eastAsia"/>
          <w:color w:val="auto"/>
          <w:lang w:val="en-US" w:eastAsia="zh-CN"/>
        </w:rPr>
        <w:t>6分</w:t>
      </w:r>
      <w:r>
        <w:rPr>
          <w:rFonts w:hint="eastAsia"/>
          <w:color w:val="auto"/>
          <w:lang w:val="zh-CN" w:eastAsia="zh-CN"/>
        </w:rPr>
        <w:t>）：该项指标得分=（1至6月预算执行数÷（部门预算数×50%）×2）+（1-1至6月支出预警金额占比×0.8-1至6月支出违规金额占比×0.2）+（1至10月预算执行数÷（部门预算数×83.33%）×2）+（1-1至10月支出预警金额占比×0.8-1至10月支出违规金额占比×0.2）</w:t>
      </w:r>
      <w:r>
        <w:rPr>
          <w:rFonts w:hint="eastAsia"/>
          <w:color w:val="auto"/>
          <w:lang w:val="en-US" w:eastAsia="zh-CN"/>
        </w:rPr>
        <w:t>=（1029.45÷（1320.85×50%）×2）+（1-0×0.8-0×0.2）+（1195.60÷（1443.93×83.33%）×2）+（1-0×0.8-0）=6分。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预算年终结余</w:t>
      </w:r>
      <w:r>
        <w:rPr>
          <w:rFonts w:hint="eastAsia"/>
          <w:color w:val="auto"/>
          <w:lang w:val="zh-CN" w:eastAsia="zh-CN"/>
        </w:rPr>
        <w:t>（</w:t>
      </w:r>
      <w:r>
        <w:rPr>
          <w:rFonts w:hint="eastAsia"/>
          <w:color w:val="auto"/>
          <w:lang w:val="en-US" w:eastAsia="zh-CN"/>
        </w:rPr>
        <w:t>2分</w:t>
      </w:r>
      <w:r>
        <w:rPr>
          <w:rFonts w:hint="eastAsia"/>
          <w:color w:val="auto"/>
          <w:lang w:val="zh-CN" w:eastAsia="zh-CN"/>
        </w:rPr>
        <w:t>）：该项指标得分=（1-部门整体预算结余率）×100%×2</w:t>
      </w:r>
      <w:r>
        <w:rPr>
          <w:rFonts w:hint="eastAsia"/>
          <w:color w:val="auto"/>
          <w:lang w:val="en-US" w:eastAsia="zh-CN"/>
        </w:rPr>
        <w:t>=（1-0）×100%×2=2分。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严控一般性支出</w:t>
      </w:r>
      <w:r>
        <w:rPr>
          <w:rFonts w:hint="eastAsia"/>
          <w:color w:val="auto"/>
          <w:lang w:val="zh-CN" w:eastAsia="zh-CN"/>
        </w:rPr>
        <w:t>（</w:t>
      </w:r>
      <w:r>
        <w:rPr>
          <w:rFonts w:hint="eastAsia"/>
          <w:color w:val="auto"/>
          <w:lang w:val="en-US" w:eastAsia="zh-CN"/>
        </w:rPr>
        <w:t>2分</w:t>
      </w:r>
      <w:r>
        <w:rPr>
          <w:rFonts w:hint="eastAsia"/>
          <w:color w:val="auto"/>
          <w:lang w:val="zh-CN" w:eastAsia="zh-CN"/>
        </w:rPr>
        <w:t>）：该项指标得分=基础分值+加分值</w:t>
      </w:r>
      <w:r>
        <w:rPr>
          <w:rFonts w:hint="eastAsia"/>
          <w:color w:val="auto"/>
          <w:lang w:val="en-US" w:eastAsia="zh-CN"/>
        </w:rPr>
        <w:t>=1+1=2分。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default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财务管理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10分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eastAsia="仿宋_GB2312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财务管理制度</w:t>
      </w:r>
      <w:r>
        <w:rPr>
          <w:rFonts w:hint="eastAsia"/>
          <w:b w:val="0"/>
          <w:bCs w:val="0"/>
          <w:color w:val="auto"/>
          <w:lang w:val="zh-CN" w:eastAsia="zh-CN"/>
        </w:rPr>
        <w:t>（</w:t>
      </w:r>
      <w:r>
        <w:rPr>
          <w:rFonts w:hint="eastAsia"/>
          <w:b w:val="0"/>
          <w:bCs w:val="0"/>
          <w:color w:val="auto"/>
          <w:lang w:val="en-US" w:eastAsia="zh-CN"/>
        </w:rPr>
        <w:t>4分</w:t>
      </w:r>
      <w:r>
        <w:rPr>
          <w:rFonts w:hint="eastAsia"/>
          <w:b w:val="0"/>
          <w:bCs w:val="0"/>
          <w:color w:val="auto"/>
          <w:lang w:val="zh-CN" w:eastAsia="zh-CN"/>
        </w:rPr>
        <w:t>）</w:t>
      </w:r>
      <w:r>
        <w:rPr>
          <w:rFonts w:hint="eastAsia"/>
          <w:b w:val="0"/>
          <w:bCs w:val="0"/>
          <w:color w:val="auto"/>
          <w:lang w:val="en-US" w:eastAsia="zh-CN"/>
        </w:rPr>
        <w:t>:已建立财务管理办法、预算管理、预算绩效管理实施办法、不相容岗位分离规定、各项费用开支等管理制度，能满足日常费用开支的管控。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财务岗位设置（2分）：单位设有2名会计员，</w:t>
      </w:r>
      <w:r>
        <w:rPr>
          <w:rFonts w:hint="eastAsia" w:ascii="Times New Roman" w:hAnsi="Times New Roman" w:cs="Times New Roman"/>
          <w:b w:val="0"/>
          <w:bCs w:val="0"/>
          <w:color w:val="auto"/>
          <w:lang w:val="en-US" w:eastAsia="zh-CN"/>
        </w:rPr>
        <w:t>1名出纳人员</w:t>
      </w:r>
      <w:r>
        <w:rPr>
          <w:rFonts w:hint="eastAsia"/>
          <w:b w:val="0"/>
          <w:bCs w:val="0"/>
          <w:color w:val="auto"/>
          <w:lang w:val="en-US" w:eastAsia="zh-CN"/>
        </w:rPr>
        <w:t>（</w:t>
      </w:r>
      <w:r>
        <w:rPr>
          <w:rFonts w:hint="eastAsia" w:ascii="Times New Roman" w:hAnsi="Times New Roman" w:cs="Times New Roman"/>
          <w:b w:val="0"/>
          <w:bCs w:val="0"/>
          <w:color w:val="auto"/>
          <w:lang w:val="en-US" w:eastAsia="zh-CN"/>
        </w:rPr>
        <w:t>出纳不得兼管稽核、会计档案保管和收入、费用、债权、债务账簿的登记工作，</w:t>
      </w:r>
      <w:r>
        <w:rPr>
          <w:rFonts w:hint="eastAsia"/>
          <w:b w:val="0"/>
          <w:bCs w:val="0"/>
          <w:color w:val="auto"/>
          <w:lang w:val="en-US" w:eastAsia="zh-CN"/>
        </w:rPr>
        <w:t>机构设置合理。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资金使用规范（4分）：资金使用规范，账务处理符合事业单位会计账务处理的相关规定，预算项目资金分配科学、拨付合规、使用规范，执行准确，不存在挪用、挤占、截留等违规情况。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4"/>
          <w:lang w:val="zh-CN" w:eastAsia="zh-CN" w:bidi="ar-SA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4.</w:t>
      </w:r>
      <w:r>
        <w:rPr>
          <w:rFonts w:hint="default" w:ascii="楷体_GB2312" w:hAnsi="楷体_GB2312" w:eastAsia="楷体_GB2312" w:cs="楷体_GB2312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t>资产管理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4"/>
          <w:lang w:val="zh-CN" w:eastAsia="zh-CN" w:bidi="ar-SA"/>
        </w:rPr>
        <w:t>（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24"/>
          <w:lang w:val="en-US" w:eastAsia="zh-CN" w:bidi="ar-SA"/>
        </w:rPr>
        <w:t>6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4"/>
          <w:lang w:val="en-US" w:eastAsia="zh-CN" w:bidi="ar-SA"/>
        </w:rPr>
        <w:t>分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24"/>
          <w:lang w:val="zh-CN" w:eastAsia="zh-CN" w:bidi="ar-SA"/>
        </w:rPr>
        <w:t>）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 w:eastAsia="仿宋_GB2312"/>
          <w:color w:val="FF0000"/>
          <w:lang w:val="en-US" w:eastAsia="zh-CN"/>
        </w:rPr>
      </w:pPr>
      <w:r>
        <w:rPr>
          <w:rFonts w:hint="eastAsia"/>
          <w:color w:val="auto"/>
          <w:lang w:val="zh-CN"/>
        </w:rPr>
        <w:t>人均资产变化率（</w:t>
      </w:r>
      <w:r>
        <w:rPr>
          <w:rFonts w:hint="eastAsia"/>
          <w:color w:val="auto"/>
          <w:lang w:val="en-US" w:eastAsia="zh-CN"/>
        </w:rPr>
        <w:t>1.5分</w:t>
      </w:r>
      <w:r>
        <w:rPr>
          <w:rFonts w:hint="eastAsia"/>
          <w:color w:val="auto"/>
          <w:lang w:val="zh-CN"/>
        </w:rPr>
        <w:t>）：</w:t>
      </w:r>
      <w:r>
        <w:rPr>
          <w:rFonts w:hint="eastAsia"/>
          <w:color w:val="auto"/>
          <w:lang w:val="en-US" w:eastAsia="zh-CN"/>
        </w:rPr>
        <w:t>2024年部门人均资产变化率为20%。部门人均资产增长率为10%。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eastAsia="仿宋_GB2312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资产利用率（1.5分）：部门办公家具超最低使用年限资产利用率=超最低使用年限的办公家具账面价值÷办公家具账面价值×100%=0÷789525×100%=0；部门办公设备超最低使用年限资产利用率=超最低使用年限的办公设备账面价值÷办公设备账面价值×100%=4278283÷10386265.29×100%=41.19%。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default"/>
          <w:color w:val="FF0000"/>
          <w:lang w:val="en-US" w:eastAsia="zh-CN"/>
        </w:rPr>
      </w:pPr>
      <w:r>
        <w:rPr>
          <w:rFonts w:hint="default"/>
          <w:color w:val="auto"/>
          <w:lang w:val="en-US" w:eastAsia="zh-CN"/>
        </w:rPr>
        <w:t>资产盘活率</w:t>
      </w:r>
      <w:r>
        <w:rPr>
          <w:rFonts w:hint="eastAsia"/>
          <w:color w:val="auto"/>
          <w:lang w:val="en-US" w:eastAsia="zh-CN"/>
        </w:rPr>
        <w:t>（3分）:部门闲置资产占比变化率=(本年闲置资产账面价值÷本年总资产账面价值)÷(上一年度闲置资产账面价值÷上一年度总资产账面价值)×100%=(0÷30834185.74)÷(0÷26602810.74)×100%=0分，两年均无闲置资产。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contextualSpacing/>
        <w:jc w:val="left"/>
        <w:textAlignment w:val="auto"/>
        <w:outlineLvl w:val="9"/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5.</w:t>
      </w:r>
      <w:r>
        <w:rPr>
          <w:rFonts w:hint="default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zh-CN"/>
        </w:rPr>
        <w:t>采购管理</w:t>
      </w: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6分</w:t>
      </w: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zh-CN"/>
        </w:rPr>
        <w:t>）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zh-CN"/>
        </w:rPr>
        <w:t>支持中小企业发展（</w:t>
      </w:r>
      <w:r>
        <w:rPr>
          <w:rFonts w:hint="eastAsia"/>
          <w:color w:val="auto"/>
          <w:lang w:val="en-US" w:eastAsia="zh-CN"/>
        </w:rPr>
        <w:t>3分</w:t>
      </w:r>
      <w:r>
        <w:rPr>
          <w:rFonts w:hint="eastAsia"/>
          <w:color w:val="auto"/>
          <w:lang w:val="zh-CN"/>
        </w:rPr>
        <w:t>）：</w:t>
      </w:r>
      <w:r>
        <w:rPr>
          <w:rFonts w:hint="eastAsia"/>
          <w:color w:val="auto"/>
          <w:lang w:val="en-US" w:eastAsia="zh-CN"/>
        </w:rPr>
        <w:t>2024年政府采购因设备采购要求未向中小企业采购。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zh-CN"/>
        </w:rPr>
        <w:t>采购执行率（</w:t>
      </w:r>
      <w:r>
        <w:rPr>
          <w:rFonts w:hint="eastAsia"/>
          <w:color w:val="auto"/>
          <w:lang w:val="en-US" w:eastAsia="zh-CN"/>
        </w:rPr>
        <w:t>3分</w:t>
      </w:r>
      <w:r>
        <w:rPr>
          <w:rFonts w:hint="eastAsia"/>
          <w:color w:val="auto"/>
          <w:lang w:val="zh-CN"/>
        </w:rPr>
        <w:t>）：</w:t>
      </w:r>
      <w:r>
        <w:rPr>
          <w:rFonts w:hint="eastAsia"/>
          <w:color w:val="auto"/>
          <w:lang w:val="en-US" w:eastAsia="zh-CN"/>
        </w:rPr>
        <w:t>2024年政府采购执行率100%。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（二）部门预算项目绩效分析</w:t>
      </w:r>
      <w:r>
        <w:rPr>
          <w:rFonts w:hint="eastAsia" w:eastAsia="楷体_GB2312" w:cs="Times New Roman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33.19分</w:t>
      </w:r>
      <w:r>
        <w:rPr>
          <w:rFonts w:hint="eastAsia" w:eastAsia="楷体_GB2312" w:cs="Times New Roman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）</w:t>
      </w: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常年项目绩效分析。</w:t>
      </w:r>
      <w:r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t>该类项目总数</w:t>
      </w:r>
      <w:r>
        <w:rPr>
          <w:rFonts w:hint="eastAsia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3</w:t>
      </w:r>
      <w:r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 xml:space="preserve">   </w:t>
      </w:r>
      <w:r>
        <w:rPr>
          <w:rFonts w:hint="eastAsia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454.12</w:t>
      </w:r>
      <w:r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/>
        </w:rPr>
        <w:t>月预算执行</w:t>
      </w:r>
      <w:r>
        <w:rPr>
          <w:rFonts w:hint="eastAsia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298.94万元，</w:t>
      </w:r>
      <w:r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/>
        </w:rPr>
        <w:t>总体进度为</w:t>
      </w:r>
      <w:r>
        <w:rPr>
          <w:rFonts w:hint="eastAsia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65.83</w:t>
      </w:r>
      <w:r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/>
        </w:rPr>
        <w:t>%，其中：</w:t>
      </w:r>
      <w:r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t>预算结余率大于</w:t>
      </w:r>
      <w:r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10%</w:t>
      </w:r>
      <w:r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t>的项目共</w:t>
      </w:r>
      <w:r>
        <w:rPr>
          <w:rFonts w:hint="eastAsia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1</w:t>
      </w:r>
      <w:r>
        <w:rPr>
          <w:rFonts w:hint="default" w:cs="Times New Roman"/>
          <w:b w:val="0"/>
          <w:bCs w:val="0"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t>个。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eastAsia="仿宋_GB2312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阶段</w:t>
      </w:r>
      <w:r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（</w:t>
      </w:r>
      <w:r>
        <w:rPr>
          <w:rFonts w:hint="default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一次性</w:t>
      </w:r>
      <w:r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）</w:t>
      </w:r>
      <w:r>
        <w:rPr>
          <w:rFonts w:hint="default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项目绩效分析。</w:t>
      </w:r>
      <w:r>
        <w:rPr>
          <w:rFonts w:hint="default" w:cs="Times New Roman"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t>该类项目总</w:t>
      </w:r>
      <w:r>
        <w:rPr>
          <w:rFonts w:hint="default" w:cs="Times New Roman"/>
          <w:color w:val="auto"/>
          <w:kern w:val="0"/>
          <w:szCs w:val="32"/>
          <w:highlight w:val="none"/>
          <w:shd w:val="clear" w:color="auto" w:fill="FFFFFF"/>
          <w:lang w:eastAsia="zh-CN"/>
        </w:rPr>
        <w:t>数</w:t>
      </w:r>
      <w:r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4</w:t>
      </w:r>
      <w:r>
        <w:rPr>
          <w:rFonts w:hint="default" w:cs="Times New Roman"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t>个，涉及预算总金额</w:t>
      </w:r>
      <w:r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361.39</w:t>
      </w:r>
      <w:r>
        <w:rPr>
          <w:rFonts w:hint="default" w:cs="Times New Roman"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t>万元，</w:t>
      </w:r>
      <w:r>
        <w:rPr>
          <w:rFonts w:hint="default" w:cs="Times New Roman"/>
          <w:color w:val="auto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t>—</w:t>
      </w:r>
      <w:r>
        <w:rPr>
          <w:rFonts w:hint="default" w:cs="Times New Roman"/>
          <w:color w:val="auto"/>
          <w:kern w:val="0"/>
          <w:szCs w:val="32"/>
          <w:highlight w:val="none"/>
          <w:shd w:val="clear" w:color="auto" w:fill="FFFFFF"/>
          <w:lang w:val="zh-CN"/>
        </w:rPr>
        <w:t>1</w:t>
      </w:r>
      <w:r>
        <w:rPr>
          <w:rFonts w:hint="default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2</w:t>
      </w:r>
      <w:r>
        <w:rPr>
          <w:rFonts w:hint="default" w:cs="Times New Roman"/>
          <w:color w:val="auto"/>
          <w:kern w:val="0"/>
          <w:szCs w:val="32"/>
          <w:highlight w:val="none"/>
          <w:shd w:val="clear" w:color="auto" w:fill="FFFFFF"/>
          <w:lang w:val="zh-CN"/>
        </w:rPr>
        <w:t>月预算执行</w:t>
      </w:r>
      <w:r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360.67万元，</w:t>
      </w:r>
      <w:r>
        <w:rPr>
          <w:rFonts w:hint="default" w:cs="Times New Roman"/>
          <w:color w:val="auto"/>
          <w:kern w:val="0"/>
          <w:szCs w:val="32"/>
          <w:highlight w:val="none"/>
          <w:shd w:val="clear" w:color="auto" w:fill="FFFFFF"/>
          <w:lang w:val="zh-CN"/>
        </w:rPr>
        <w:t>总体进度为</w:t>
      </w:r>
      <w:r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99.80</w:t>
      </w:r>
      <w:r>
        <w:rPr>
          <w:rFonts w:hint="default" w:cs="Times New Roman"/>
          <w:color w:val="auto"/>
          <w:kern w:val="0"/>
          <w:szCs w:val="32"/>
          <w:highlight w:val="none"/>
          <w:shd w:val="clear" w:color="auto" w:fill="FFFFFF"/>
          <w:lang w:val="zh-CN"/>
        </w:rPr>
        <w:t>%</w:t>
      </w:r>
      <w:r>
        <w:rPr>
          <w:rFonts w:hint="eastAsia" w:cs="Times New Roman"/>
          <w:color w:val="auto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zh-CN"/>
        </w:rPr>
        <w:t>项目决策（</w:t>
      </w: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12分</w:t>
      </w: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zh-CN"/>
        </w:rPr>
        <w:t>）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zh-CN"/>
        </w:rPr>
        <w:t>决策程序（</w:t>
      </w:r>
      <w:r>
        <w:rPr>
          <w:rFonts w:hint="eastAsia"/>
          <w:color w:val="auto"/>
          <w:lang w:val="en-US" w:eastAsia="zh-CN"/>
        </w:rPr>
        <w:t>4分</w:t>
      </w:r>
      <w:r>
        <w:rPr>
          <w:rFonts w:hint="eastAsia"/>
          <w:color w:val="auto"/>
          <w:lang w:val="zh-CN"/>
        </w:rPr>
        <w:t>）：该项指标得分=4-部门未履行事前评估程序的部门预算阶段项目（含一次性项目）数量÷部门预算阶段项目（含一次性项目）总数×100%×4</w:t>
      </w:r>
      <w:r>
        <w:rPr>
          <w:rFonts w:hint="eastAsia"/>
          <w:color w:val="auto"/>
          <w:lang w:val="en-US" w:eastAsia="zh-CN"/>
        </w:rPr>
        <w:t>=4-0÷7×100%×4=4分。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目标设置（4分）：该项指标得分=4-绩效目标与计划期内的任务量、预算安排不相匹配的部门预算阶段项目（含一次性项目）数量÷部门预算阶段项目（含一次性项目）总数×100%×4=4-0÷7×100%×4=4分。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项目入库（4分）：该项指标得分=4-规定时间未入财政部门预算阶段项目（含一次性项目）数量÷最终安排部门预算阶段项目（含一次性项目）总数×100%×4=4-0÷7×100%×4=4分。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" w:hAnsi="仿宋" w:eastAsia="仿宋" w:cs="仿宋"/>
          <w:color w:val="auto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2.项目执行</w:t>
      </w: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11.33分</w:t>
      </w: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zh-CN"/>
        </w:rPr>
        <w:t>）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zh-CN"/>
        </w:rPr>
        <w:t>执行同</w:t>
      </w:r>
      <w:r>
        <w:rPr>
          <w:rFonts w:hint="default"/>
          <w:color w:val="auto"/>
        </w:rPr>
        <w:t>项</w:t>
      </w:r>
      <w:r>
        <w:rPr>
          <w:rFonts w:hint="eastAsia"/>
          <w:color w:val="auto"/>
          <w:lang w:val="zh-CN"/>
        </w:rPr>
        <w:t>（</w:t>
      </w:r>
      <w:r>
        <w:rPr>
          <w:rFonts w:hint="eastAsia"/>
          <w:color w:val="auto"/>
          <w:lang w:val="en-US" w:eastAsia="zh-CN"/>
        </w:rPr>
        <w:t>4分</w:t>
      </w:r>
      <w:r>
        <w:rPr>
          <w:rFonts w:hint="eastAsia"/>
          <w:color w:val="auto"/>
          <w:lang w:val="zh-CN"/>
        </w:rPr>
        <w:t>）：该项指标得分=4-实际列支内容与绩效目标设置方向不相符的部门预算阶段项目（含一次性项目）数量÷部门预算阶段项目（含一次性项目）总数×100%×4</w:t>
      </w:r>
      <w:r>
        <w:rPr>
          <w:rFonts w:hint="eastAsia"/>
          <w:color w:val="auto"/>
          <w:lang w:val="en-US" w:eastAsia="zh-CN"/>
        </w:rPr>
        <w:t>=4-0÷7×100%×4=4分。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项目调整</w:t>
      </w:r>
      <w:r>
        <w:rPr>
          <w:rFonts w:hint="eastAsia"/>
          <w:color w:val="auto"/>
          <w:lang w:val="en-US" w:eastAsia="zh-CN"/>
        </w:rPr>
        <w:t>（4分）：该项指标得分=4-应采取未采取收回预算、调整目标等处置措施的部门预算阶段项目（含一次性项目）数量÷应采取收回预算、调整目标等处置措施的部门预算阶段项目（含一次性项目）总数×100%×4=4-0÷0×100%×4=4分。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执行结果（3.33分</w:t>
      </w:r>
      <w:bookmarkStart w:id="1" w:name="_GoBack"/>
      <w:bookmarkEnd w:id="1"/>
      <w:r>
        <w:rPr>
          <w:rFonts w:hint="eastAsia"/>
          <w:color w:val="auto"/>
          <w:lang w:val="en-US" w:eastAsia="zh-CN"/>
        </w:rPr>
        <w:t>）：该项指标得分=预算结余率小于10%的常年项目数量÷部门预算常年项目总数×100%×2+预算结余率小于10%的一次性项目和阶段项目数量÷部门预算一次性项目和阶段项目总数×100%×2=2÷3×100%×2+4÷4×100%×2=3.33分。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contextualSpacing/>
        <w:jc w:val="left"/>
        <w:textAlignment w:val="auto"/>
        <w:outlineLvl w:val="9"/>
        <w:rPr>
          <w:rFonts w:hint="eastAsia" w:ascii="仿宋" w:hAnsi="仿宋" w:eastAsia="仿宋" w:cs="仿宋"/>
          <w:color w:val="FF0000"/>
          <w:sz w:val="32"/>
          <w:szCs w:val="32"/>
          <w:lang w:val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3.</w:t>
      </w: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zh-CN"/>
        </w:rPr>
        <w:t>目标实现（</w:t>
      </w: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en-US" w:eastAsia="zh-CN"/>
        </w:rPr>
        <w:t>9.86分</w:t>
      </w:r>
      <w:r>
        <w:rPr>
          <w:rFonts w:hint="eastAsia" w:ascii="楷体_GB2312" w:hAnsi="楷体_GB2312" w:eastAsia="楷体_GB2312" w:cs="楷体_GB2312"/>
          <w:color w:val="auto"/>
          <w:kern w:val="0"/>
          <w:szCs w:val="32"/>
          <w:highlight w:val="none"/>
          <w:shd w:val="clear" w:color="auto" w:fill="FFFFFF"/>
          <w:lang w:val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Times New Roman" w:hAnsi="Times New Roman" w:eastAsia="仿宋_GB2312" w:cs="Times New Roman"/>
          <w:color w:val="FF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zh-CN" w:eastAsia="zh-CN" w:bidi="ar-SA"/>
        </w:rPr>
        <w:t>通过科学制定细化量化的绩效目标并严格按照目标执行，</w:t>
      </w:r>
      <w:r>
        <w:rPr>
          <w:rFonts w:hint="eastAsia" w:cs="Times New Roman"/>
          <w:color w:val="auto"/>
          <w:kern w:val="2"/>
          <w:sz w:val="32"/>
          <w:szCs w:val="24"/>
          <w:lang w:val="en-US" w:eastAsia="zh-CN" w:bidi="ar-SA"/>
        </w:rPr>
        <w:t>2024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年黑水县疾病预防控制中心较好地完成了年初制定的工作目标任务，较好地</w:t>
      </w:r>
      <w:r>
        <w:rPr>
          <w:rFonts w:hint="eastAsia" w:cs="Times New Roman"/>
          <w:color w:val="auto"/>
          <w:kern w:val="2"/>
          <w:sz w:val="32"/>
          <w:szCs w:val="24"/>
          <w:lang w:val="en-US" w:eastAsia="zh-CN" w:bidi="ar-SA"/>
        </w:rPr>
        <w:t>完成了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各项绩效目标，绩效目标实际实现程度与预期目标的偏离度较小</w:t>
      </w:r>
      <w:r>
        <w:rPr>
          <w:rFonts w:hint="eastAsia" w:ascii="Times New Roman" w:hAnsi="Times New Roman" w:eastAsia="仿宋_GB2312" w:cs="Times New Roman"/>
          <w:color w:val="FF0000"/>
          <w:kern w:val="2"/>
          <w:sz w:val="32"/>
          <w:szCs w:val="24"/>
          <w:lang w:val="en-US" w:eastAsia="zh-CN" w:bidi="ar-SA"/>
        </w:rPr>
        <w:t>。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目标完成（2.86分）：该项指标得分=完成绩效目标数量指标的部门预算阶段项目（含一次性项目）数量÷部门预算阶段项目（含一次性项目）总数×100%×4=5÷7×100%×4=2.86分。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目标偏离</w:t>
      </w:r>
      <w:r>
        <w:rPr>
          <w:rFonts w:hint="eastAsia"/>
          <w:color w:val="auto"/>
          <w:lang w:val="en-US" w:eastAsia="zh-CN"/>
        </w:rPr>
        <w:t>（4分）：该项指标得分=已完成预期指标值的数量指标中偏离度在30%内的指标个数÷已完成预期指标值的数量指标个数×100%×4=0÷30×100%×4=4分。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实现效果</w:t>
      </w:r>
      <w:r>
        <w:rPr>
          <w:rFonts w:hint="eastAsia"/>
          <w:color w:val="auto"/>
          <w:lang w:val="en-US" w:eastAsia="zh-CN"/>
        </w:rPr>
        <w:t>（3分）：该项指标得分=完成绩效目标效益指标的部门预算阶段项目（含一次性项目）数量÷部门预算阶段项目（含一次性项目）总数×100%×3=6÷6×100%×3=3分。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auto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eastAsia" w:eastAsia="楷体_GB2312" w:cs="Times New Roman"/>
          <w:b/>
          <w:bCs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t>（三）</w:t>
      </w: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t>重点领域</w:t>
      </w: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绩效分析</w:t>
      </w: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黑水县疾病预防控制中心不涉及。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2" w:firstLineChars="200"/>
        <w:textAlignment w:val="auto"/>
        <w:rPr>
          <w:rFonts w:hint="eastAsia" w:ascii="Times New Roman" w:hAnsi="Times New Roman" w:eastAsia="楷体_GB2312" w:cs="Times New Roman"/>
          <w:b/>
          <w:bCs/>
          <w:color w:val="auto"/>
          <w:szCs w:val="32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szCs w:val="32"/>
          <w:lang w:val="zh-CN"/>
        </w:rPr>
        <w:t>（四）绩效结果应用情况</w:t>
      </w:r>
      <w:r>
        <w:rPr>
          <w:rFonts w:hint="eastAsia" w:ascii="Times New Roman" w:hAnsi="Times New Roman" w:eastAsia="楷体_GB2312" w:cs="Times New Roman"/>
          <w:b/>
          <w:bCs/>
          <w:color w:val="auto"/>
          <w:szCs w:val="32"/>
          <w:lang w:val="zh-CN"/>
        </w:rPr>
        <w:t>。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textAlignment w:val="auto"/>
        <w:rPr>
          <w:rFonts w:hint="eastAsia"/>
          <w:color w:val="auto"/>
          <w:lang w:val="zh-CN"/>
        </w:rPr>
      </w:pPr>
      <w:r>
        <w:rPr>
          <w:rFonts w:hint="eastAsia"/>
          <w:color w:val="auto"/>
          <w:lang w:val="zh-CN"/>
        </w:rPr>
        <w:t>黑水县疾病预防控制中心高度重视自评结果，及时进行了整理、汇总、分析、反馈绩效自评结果，将各项目绩效目标制定和自评情况纳入中心绩效目标考核体系，考核结果作为项目资金安排的重要依据，并指导下一年度预算工作。同时本绩效报告将向县财政局报送，按要求将相关绩效信息随同决算公开，并自愿接受社会各界人民群众的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zh-CN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2024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zh-CN" w:eastAsia="zh-CN"/>
        </w:rPr>
        <w:t>年预算编制情况在县财政部门批复后，及时在黑水县政务信息公开网站上对外公开，接受社会监督。202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zh-CN" w:eastAsia="zh-CN"/>
        </w:rPr>
        <w:t>年决算待县财政部门批复后公开。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default" w:ascii="Times New Roman" w:hAnsi="Times New Roman" w:eastAsia="黑体" w:cs="Times New Roman"/>
          <w:color w:val="auto"/>
          <w:kern w:val="0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kern w:val="0"/>
          <w:szCs w:val="32"/>
          <w:highlight w:val="none"/>
          <w:shd w:val="clear" w:color="auto" w:fill="FFFFFF"/>
          <w:lang w:eastAsia="zh-CN"/>
        </w:rPr>
        <w:t>四、</w:t>
      </w:r>
      <w:r>
        <w:rPr>
          <w:rFonts w:hint="default" w:ascii="Times New Roman" w:hAnsi="Times New Roman" w:eastAsia="黑体" w:cs="Times New Roman"/>
          <w:color w:val="auto"/>
          <w:kern w:val="0"/>
          <w:szCs w:val="32"/>
          <w:highlight w:val="none"/>
          <w:shd w:val="clear" w:color="auto" w:fill="FFFFFF"/>
        </w:rPr>
        <w:t>评价结论及建议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（一）评价结论。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2024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zh-CN" w:eastAsia="zh-CN"/>
        </w:rPr>
        <w:t>县疾病预防控制中心严格按照相关程序组织实施项目工作，项目支出保障了疾病预防等重点工作的开展，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zh-CN" w:eastAsia="zh-CN"/>
        </w:rPr>
        <w:t>均达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zh-CN" w:eastAsia="zh-CN"/>
        </w:rPr>
        <w:t>到了预期绩效目标。中心财政拨款支出主要用于保障该部门机构正常运转、完成日常工作任务以及做好地方病及慢性病综合防治工作、抓好结核病、艾滋病防治工作、继续抓好传染病、计划免疫等工作、提高人民群众健康指数等相关工作。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2024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年部门整体支出绩效自评综合得分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92.19分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，完成情况较好。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zh-CN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Cs w:val="32"/>
          <w:highlight w:val="none"/>
          <w:shd w:val="clear" w:color="auto" w:fill="FFFFFF"/>
          <w:lang w:val="zh-CN"/>
        </w:rPr>
        <w:t>存在问题。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zh-CN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zh-CN" w:eastAsia="zh-CN" w:bidi="ar-SA"/>
        </w:rPr>
        <w:t>项目资金使用效益有待进一步提高，资金执行率较低</w:t>
      </w:r>
      <w:r>
        <w:rPr>
          <w:rFonts w:hint="eastAsia" w:ascii="仿宋_GB2312" w:hAnsi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zh-CN" w:eastAsia="zh-CN" w:bidi="ar-SA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2" w:firstLineChars="200"/>
        <w:contextualSpacing/>
        <w:jc w:val="left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color w:val="auto"/>
          <w:kern w:val="0"/>
          <w:szCs w:val="32"/>
          <w:highlight w:val="none"/>
          <w:shd w:val="clear" w:color="auto" w:fill="FFFFFF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Cs w:val="32"/>
          <w:highlight w:val="none"/>
          <w:shd w:val="clear" w:color="auto" w:fill="FFFFFF"/>
          <w:lang w:val="zh-CN" w:eastAsia="zh-CN"/>
        </w:rPr>
        <w:t>改进建议。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  <w:t>加强预算执行分析，提高运行效率和使用效益，提高对预算执行分析工作的重视，切实发挥财政预算执行分析工作的重要意义，牢牢把握预算执行分析工作真实性、及时性和全面性的要求，进一步提高财政预算的管理和决策水平，合理规范使用资金，提高资金使用效益。</w:t>
      </w:r>
      <w:bookmarkStart w:id="0" w:name="_Hlk110546638"/>
    </w:p>
    <w:bookmarkEnd w:id="0"/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3403600</wp:posOffset>
            </wp:positionH>
            <wp:positionV relativeFrom="paragraph">
              <wp:posOffset>318770</wp:posOffset>
            </wp:positionV>
            <wp:extent cx="1487805" cy="1458595"/>
            <wp:effectExtent l="202565" t="196850" r="205740" b="201295"/>
            <wp:wrapNone/>
            <wp:docPr id="7" name="图片 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7340000">
                      <a:off x="0" y="0"/>
                      <a:ext cx="1487805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4748" w:firstLineChars="1484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黑水县疾病预防控制中心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 xml:space="preserve">                             2025年5月15日</w:t>
      </w:r>
    </w:p>
    <w:p>
      <w:pPr>
        <w:rPr>
          <w:rFonts w:hint="default"/>
          <w:color w:val="auto"/>
          <w:lang w:val="en-US" w:eastAsia="zh-CN"/>
        </w:rPr>
      </w:pPr>
    </w:p>
    <w:p>
      <w:pPr>
        <w:rPr>
          <w:rFonts w:hint="default"/>
          <w:color w:val="auto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jc w:val="left"/>
        <w:textAlignment w:val="auto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jc w:val="left"/>
        <w:textAlignment w:val="auto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atLeast"/>
        <w:textAlignment w:val="baseline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atLeast"/>
        <w:textAlignment w:val="baseline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atLeast"/>
        <w:textAlignment w:val="baseline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atLeast"/>
        <w:textAlignment w:val="baseline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</w:p>
    <w:p>
      <w:pPr>
        <w:pStyle w:val="6"/>
        <w:keepNext w:val="0"/>
        <w:keepLines w:val="0"/>
        <w:pageBreakBefore w:val="0"/>
        <w:pBdr>
          <w:top w:val="single" w:color="auto" w:sz="4" w:space="1"/>
          <w:bottom w:val="single" w:color="auto" w:sz="4" w:space="1"/>
          <w:between w:val="single" w:color="auto" w:sz="4" w:space="1"/>
        </w:pBdr>
        <w:kinsoku/>
        <w:wordWrap/>
        <w:overflowPunct/>
        <w:topLinePunct w:val="0"/>
        <w:bidi w:val="0"/>
        <w:snapToGrid/>
        <w:spacing w:line="560" w:lineRule="exact"/>
        <w:ind w:firstLine="140" w:firstLineChars="50"/>
        <w:jc w:val="left"/>
        <w:rPr>
          <w:rFonts w:hint="default" w:ascii="Times New Roman" w:hAnsi="Times New Roman" w:eastAsia="黑体" w:cs="Times New Roman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黑水县</w:t>
      </w:r>
      <w:r>
        <w:rPr>
          <w:rFonts w:hint="eastAsia" w:ascii="仿宋_GB2312" w:eastAsia="仿宋_GB2312"/>
          <w:sz w:val="28"/>
          <w:szCs w:val="28"/>
        </w:rPr>
        <w:t xml:space="preserve">疾病预防控制中心       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/>
          <w:sz w:val="28"/>
          <w:szCs w:val="28"/>
          <w:lang w:val="en-US" w:eastAsia="zh-CN"/>
        </w:rPr>
        <w:t>15</w:t>
      </w:r>
      <w:r>
        <w:rPr>
          <w:rFonts w:hint="eastAsia" w:ascii="仿宋_GB2312" w:eastAsia="仿宋_GB2312"/>
          <w:sz w:val="28"/>
          <w:szCs w:val="28"/>
        </w:rPr>
        <w:t>日印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中宋">
    <w:altName w:val="方正书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anumGothic">
    <w:panose1 w:val="020D0604000000000000"/>
    <w:charset w:val="81"/>
    <w:family w:val="auto"/>
    <w:pitch w:val="default"/>
    <w:sig w:usb0="900002A7" w:usb1="29D7FCFB" w:usb2="00000010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ind w:right="451" w:rightChars="141"/>
                            <w:jc w:val="right"/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ind w:right="451" w:rightChars="141"/>
                      <w:jc w:val="right"/>
                      <w:rPr>
                        <w:rFonts w:hint="eastAsia"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2DEF7F"/>
    <w:multiLevelType w:val="singleLevel"/>
    <w:tmpl w:val="152DEF7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26D10135"/>
    <w:multiLevelType w:val="singleLevel"/>
    <w:tmpl w:val="26D10135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6E4D"/>
    <w:rsid w:val="00021652"/>
    <w:rsid w:val="00030311"/>
    <w:rsid w:val="00030782"/>
    <w:rsid w:val="00030B66"/>
    <w:rsid w:val="0006102A"/>
    <w:rsid w:val="00065B0F"/>
    <w:rsid w:val="00065E7E"/>
    <w:rsid w:val="000820BB"/>
    <w:rsid w:val="0008241B"/>
    <w:rsid w:val="00092280"/>
    <w:rsid w:val="00097FAE"/>
    <w:rsid w:val="000A3233"/>
    <w:rsid w:val="000A7CE3"/>
    <w:rsid w:val="000B04D6"/>
    <w:rsid w:val="000B15CE"/>
    <w:rsid w:val="000C40C6"/>
    <w:rsid w:val="000C79C1"/>
    <w:rsid w:val="000D208A"/>
    <w:rsid w:val="000E037E"/>
    <w:rsid w:val="000F659A"/>
    <w:rsid w:val="000F77B0"/>
    <w:rsid w:val="0010235D"/>
    <w:rsid w:val="00103A47"/>
    <w:rsid w:val="00106D4D"/>
    <w:rsid w:val="001119A2"/>
    <w:rsid w:val="001221D6"/>
    <w:rsid w:val="0012510A"/>
    <w:rsid w:val="00125F67"/>
    <w:rsid w:val="001261AE"/>
    <w:rsid w:val="001348A4"/>
    <w:rsid w:val="0014117C"/>
    <w:rsid w:val="00146FE8"/>
    <w:rsid w:val="0014767B"/>
    <w:rsid w:val="00147AED"/>
    <w:rsid w:val="00177AAF"/>
    <w:rsid w:val="00183850"/>
    <w:rsid w:val="00184D9F"/>
    <w:rsid w:val="001A4749"/>
    <w:rsid w:val="001A4842"/>
    <w:rsid w:val="001A5833"/>
    <w:rsid w:val="001C2158"/>
    <w:rsid w:val="001C51F2"/>
    <w:rsid w:val="001C73AB"/>
    <w:rsid w:val="001D2EA4"/>
    <w:rsid w:val="001E2ADB"/>
    <w:rsid w:val="001F47CE"/>
    <w:rsid w:val="001F5776"/>
    <w:rsid w:val="0020620D"/>
    <w:rsid w:val="002069BC"/>
    <w:rsid w:val="002069EB"/>
    <w:rsid w:val="002201B0"/>
    <w:rsid w:val="00220900"/>
    <w:rsid w:val="0022307E"/>
    <w:rsid w:val="00224D05"/>
    <w:rsid w:val="002323A3"/>
    <w:rsid w:val="00236EF7"/>
    <w:rsid w:val="0024058A"/>
    <w:rsid w:val="002410C0"/>
    <w:rsid w:val="00252894"/>
    <w:rsid w:val="00253FA6"/>
    <w:rsid w:val="00254728"/>
    <w:rsid w:val="002550E7"/>
    <w:rsid w:val="002558D4"/>
    <w:rsid w:val="002560E2"/>
    <w:rsid w:val="00264CFA"/>
    <w:rsid w:val="00270DD7"/>
    <w:rsid w:val="00276F4A"/>
    <w:rsid w:val="00280BFB"/>
    <w:rsid w:val="00280C88"/>
    <w:rsid w:val="002973A4"/>
    <w:rsid w:val="002A0195"/>
    <w:rsid w:val="002B5B34"/>
    <w:rsid w:val="002B6906"/>
    <w:rsid w:val="002B7215"/>
    <w:rsid w:val="002C0AFD"/>
    <w:rsid w:val="002C59D0"/>
    <w:rsid w:val="002D1A18"/>
    <w:rsid w:val="002D6C79"/>
    <w:rsid w:val="002E1104"/>
    <w:rsid w:val="002E3FDD"/>
    <w:rsid w:val="00300EF4"/>
    <w:rsid w:val="00301353"/>
    <w:rsid w:val="00305FF6"/>
    <w:rsid w:val="00307568"/>
    <w:rsid w:val="00311506"/>
    <w:rsid w:val="00316ADB"/>
    <w:rsid w:val="00317623"/>
    <w:rsid w:val="00335F67"/>
    <w:rsid w:val="003361E9"/>
    <w:rsid w:val="00350A65"/>
    <w:rsid w:val="00361C85"/>
    <w:rsid w:val="00371352"/>
    <w:rsid w:val="00376753"/>
    <w:rsid w:val="0038541D"/>
    <w:rsid w:val="00387818"/>
    <w:rsid w:val="00391A13"/>
    <w:rsid w:val="00391FD0"/>
    <w:rsid w:val="003A44FC"/>
    <w:rsid w:val="003B3299"/>
    <w:rsid w:val="003D10A2"/>
    <w:rsid w:val="003D33B8"/>
    <w:rsid w:val="003D624D"/>
    <w:rsid w:val="003D719A"/>
    <w:rsid w:val="003F5EB7"/>
    <w:rsid w:val="003F7FE2"/>
    <w:rsid w:val="004004E7"/>
    <w:rsid w:val="00416E1A"/>
    <w:rsid w:val="00426A3F"/>
    <w:rsid w:val="004277D4"/>
    <w:rsid w:val="00461638"/>
    <w:rsid w:val="004706FA"/>
    <w:rsid w:val="00474D8D"/>
    <w:rsid w:val="00475CCD"/>
    <w:rsid w:val="00477266"/>
    <w:rsid w:val="004811BC"/>
    <w:rsid w:val="004838F2"/>
    <w:rsid w:val="00486492"/>
    <w:rsid w:val="00492CF6"/>
    <w:rsid w:val="004A4C9D"/>
    <w:rsid w:val="004C2078"/>
    <w:rsid w:val="004C228F"/>
    <w:rsid w:val="004E752F"/>
    <w:rsid w:val="004F1E37"/>
    <w:rsid w:val="00515198"/>
    <w:rsid w:val="00521C44"/>
    <w:rsid w:val="005274E1"/>
    <w:rsid w:val="00531DDF"/>
    <w:rsid w:val="00535FA6"/>
    <w:rsid w:val="00542AB7"/>
    <w:rsid w:val="0055358D"/>
    <w:rsid w:val="005540C8"/>
    <w:rsid w:val="00555809"/>
    <w:rsid w:val="00562165"/>
    <w:rsid w:val="005756AF"/>
    <w:rsid w:val="00575A4A"/>
    <w:rsid w:val="00591B6F"/>
    <w:rsid w:val="005A1DAF"/>
    <w:rsid w:val="005C17C8"/>
    <w:rsid w:val="005C2098"/>
    <w:rsid w:val="005C2E6C"/>
    <w:rsid w:val="005D0CCF"/>
    <w:rsid w:val="005D1C01"/>
    <w:rsid w:val="005E297D"/>
    <w:rsid w:val="005E3F12"/>
    <w:rsid w:val="005F627E"/>
    <w:rsid w:val="0061652E"/>
    <w:rsid w:val="006205E9"/>
    <w:rsid w:val="00622D0B"/>
    <w:rsid w:val="006270DA"/>
    <w:rsid w:val="00630B75"/>
    <w:rsid w:val="00634DFF"/>
    <w:rsid w:val="00635337"/>
    <w:rsid w:val="0064265B"/>
    <w:rsid w:val="0064519C"/>
    <w:rsid w:val="0065082E"/>
    <w:rsid w:val="006512D0"/>
    <w:rsid w:val="006560A3"/>
    <w:rsid w:val="00656301"/>
    <w:rsid w:val="006600C9"/>
    <w:rsid w:val="006701CC"/>
    <w:rsid w:val="00671F58"/>
    <w:rsid w:val="006762A4"/>
    <w:rsid w:val="006900E7"/>
    <w:rsid w:val="006A00A8"/>
    <w:rsid w:val="006A482D"/>
    <w:rsid w:val="006B11E0"/>
    <w:rsid w:val="006B386A"/>
    <w:rsid w:val="006B7CB4"/>
    <w:rsid w:val="006C24D3"/>
    <w:rsid w:val="006C7917"/>
    <w:rsid w:val="006E51AE"/>
    <w:rsid w:val="0070081F"/>
    <w:rsid w:val="007018F5"/>
    <w:rsid w:val="00710897"/>
    <w:rsid w:val="00712F45"/>
    <w:rsid w:val="00734305"/>
    <w:rsid w:val="007370E1"/>
    <w:rsid w:val="007732A1"/>
    <w:rsid w:val="00774C4A"/>
    <w:rsid w:val="00782BBB"/>
    <w:rsid w:val="007A0690"/>
    <w:rsid w:val="007A078F"/>
    <w:rsid w:val="007B34D4"/>
    <w:rsid w:val="007C0633"/>
    <w:rsid w:val="007D086C"/>
    <w:rsid w:val="007F1BE1"/>
    <w:rsid w:val="007F707F"/>
    <w:rsid w:val="007F794C"/>
    <w:rsid w:val="007F7AC9"/>
    <w:rsid w:val="00803B42"/>
    <w:rsid w:val="008073EF"/>
    <w:rsid w:val="0081095C"/>
    <w:rsid w:val="00810C41"/>
    <w:rsid w:val="008212FF"/>
    <w:rsid w:val="0082593B"/>
    <w:rsid w:val="00827537"/>
    <w:rsid w:val="008468EA"/>
    <w:rsid w:val="00867140"/>
    <w:rsid w:val="00881134"/>
    <w:rsid w:val="008904F0"/>
    <w:rsid w:val="008B2F27"/>
    <w:rsid w:val="008B4A72"/>
    <w:rsid w:val="008B585E"/>
    <w:rsid w:val="008E6C0C"/>
    <w:rsid w:val="008F1E63"/>
    <w:rsid w:val="008F3052"/>
    <w:rsid w:val="00901E19"/>
    <w:rsid w:val="009214F7"/>
    <w:rsid w:val="00921CD7"/>
    <w:rsid w:val="00940EB6"/>
    <w:rsid w:val="00944771"/>
    <w:rsid w:val="009601FC"/>
    <w:rsid w:val="00965426"/>
    <w:rsid w:val="0096654A"/>
    <w:rsid w:val="009711E4"/>
    <w:rsid w:val="00971572"/>
    <w:rsid w:val="00981E55"/>
    <w:rsid w:val="00986CEF"/>
    <w:rsid w:val="00987212"/>
    <w:rsid w:val="009A0E5F"/>
    <w:rsid w:val="009F1AF3"/>
    <w:rsid w:val="009F233E"/>
    <w:rsid w:val="00A024AB"/>
    <w:rsid w:val="00A050A5"/>
    <w:rsid w:val="00A05B8B"/>
    <w:rsid w:val="00A1372F"/>
    <w:rsid w:val="00A170EC"/>
    <w:rsid w:val="00A217B3"/>
    <w:rsid w:val="00A23D04"/>
    <w:rsid w:val="00A277D9"/>
    <w:rsid w:val="00A30CEB"/>
    <w:rsid w:val="00A31318"/>
    <w:rsid w:val="00A5432A"/>
    <w:rsid w:val="00A55F8A"/>
    <w:rsid w:val="00A9670E"/>
    <w:rsid w:val="00AA1423"/>
    <w:rsid w:val="00AB7996"/>
    <w:rsid w:val="00AC43C3"/>
    <w:rsid w:val="00AE2EAD"/>
    <w:rsid w:val="00AF77BE"/>
    <w:rsid w:val="00B11CEE"/>
    <w:rsid w:val="00B23428"/>
    <w:rsid w:val="00B264BF"/>
    <w:rsid w:val="00B42E74"/>
    <w:rsid w:val="00B46874"/>
    <w:rsid w:val="00B50E8F"/>
    <w:rsid w:val="00B51151"/>
    <w:rsid w:val="00B523E4"/>
    <w:rsid w:val="00B52B4F"/>
    <w:rsid w:val="00B6108C"/>
    <w:rsid w:val="00B649AD"/>
    <w:rsid w:val="00B64B9C"/>
    <w:rsid w:val="00B67A3E"/>
    <w:rsid w:val="00B735CC"/>
    <w:rsid w:val="00B82C95"/>
    <w:rsid w:val="00B83F87"/>
    <w:rsid w:val="00B84DFD"/>
    <w:rsid w:val="00BB4E38"/>
    <w:rsid w:val="00BC3879"/>
    <w:rsid w:val="00BD0E0D"/>
    <w:rsid w:val="00BD41BC"/>
    <w:rsid w:val="00BD55AD"/>
    <w:rsid w:val="00BE0305"/>
    <w:rsid w:val="00BF15F0"/>
    <w:rsid w:val="00BF7DF9"/>
    <w:rsid w:val="00C03559"/>
    <w:rsid w:val="00C05395"/>
    <w:rsid w:val="00C22AD7"/>
    <w:rsid w:val="00C272C1"/>
    <w:rsid w:val="00C32A68"/>
    <w:rsid w:val="00C34282"/>
    <w:rsid w:val="00C35350"/>
    <w:rsid w:val="00C3564B"/>
    <w:rsid w:val="00C53721"/>
    <w:rsid w:val="00C64D2E"/>
    <w:rsid w:val="00C70F97"/>
    <w:rsid w:val="00C7497C"/>
    <w:rsid w:val="00C757A2"/>
    <w:rsid w:val="00C75966"/>
    <w:rsid w:val="00C76577"/>
    <w:rsid w:val="00C80225"/>
    <w:rsid w:val="00C81349"/>
    <w:rsid w:val="00C93139"/>
    <w:rsid w:val="00CA08A0"/>
    <w:rsid w:val="00CA32D2"/>
    <w:rsid w:val="00CA4E07"/>
    <w:rsid w:val="00CA737D"/>
    <w:rsid w:val="00CB1EF5"/>
    <w:rsid w:val="00CC05D4"/>
    <w:rsid w:val="00CC7166"/>
    <w:rsid w:val="00CF5275"/>
    <w:rsid w:val="00CF6136"/>
    <w:rsid w:val="00D0023D"/>
    <w:rsid w:val="00D006C6"/>
    <w:rsid w:val="00D14A65"/>
    <w:rsid w:val="00D162B9"/>
    <w:rsid w:val="00D251E2"/>
    <w:rsid w:val="00D254F4"/>
    <w:rsid w:val="00D263A7"/>
    <w:rsid w:val="00D26B5D"/>
    <w:rsid w:val="00D33159"/>
    <w:rsid w:val="00D33A19"/>
    <w:rsid w:val="00D355B5"/>
    <w:rsid w:val="00D43DC3"/>
    <w:rsid w:val="00D51791"/>
    <w:rsid w:val="00D5281E"/>
    <w:rsid w:val="00D6531B"/>
    <w:rsid w:val="00D6612D"/>
    <w:rsid w:val="00D71AD9"/>
    <w:rsid w:val="00D73C02"/>
    <w:rsid w:val="00D872ED"/>
    <w:rsid w:val="00D913C6"/>
    <w:rsid w:val="00DA0236"/>
    <w:rsid w:val="00DA5D51"/>
    <w:rsid w:val="00DA5E29"/>
    <w:rsid w:val="00DA61CA"/>
    <w:rsid w:val="00DB66BB"/>
    <w:rsid w:val="00DB73AF"/>
    <w:rsid w:val="00DC2865"/>
    <w:rsid w:val="00DD0894"/>
    <w:rsid w:val="00DE1888"/>
    <w:rsid w:val="00DF1250"/>
    <w:rsid w:val="00DF6EF7"/>
    <w:rsid w:val="00E05454"/>
    <w:rsid w:val="00E074C3"/>
    <w:rsid w:val="00E23329"/>
    <w:rsid w:val="00E24D6D"/>
    <w:rsid w:val="00E341B2"/>
    <w:rsid w:val="00E42633"/>
    <w:rsid w:val="00E5699E"/>
    <w:rsid w:val="00E570E1"/>
    <w:rsid w:val="00E72773"/>
    <w:rsid w:val="00E76739"/>
    <w:rsid w:val="00E81946"/>
    <w:rsid w:val="00E82BB7"/>
    <w:rsid w:val="00E86D13"/>
    <w:rsid w:val="00E936C2"/>
    <w:rsid w:val="00E95346"/>
    <w:rsid w:val="00EA0CEF"/>
    <w:rsid w:val="00EA2E2A"/>
    <w:rsid w:val="00EB79D2"/>
    <w:rsid w:val="00EC0174"/>
    <w:rsid w:val="00ED3EEB"/>
    <w:rsid w:val="00ED5749"/>
    <w:rsid w:val="00ED5FA3"/>
    <w:rsid w:val="00ED68C4"/>
    <w:rsid w:val="00ED6A4E"/>
    <w:rsid w:val="00ED72EA"/>
    <w:rsid w:val="00EE3A4F"/>
    <w:rsid w:val="00EF10C3"/>
    <w:rsid w:val="00EF3BD2"/>
    <w:rsid w:val="00F16BCE"/>
    <w:rsid w:val="00F45DA1"/>
    <w:rsid w:val="00F5267B"/>
    <w:rsid w:val="00F53E8B"/>
    <w:rsid w:val="00F663FD"/>
    <w:rsid w:val="00F743B0"/>
    <w:rsid w:val="00F82409"/>
    <w:rsid w:val="00F8264F"/>
    <w:rsid w:val="00F833E9"/>
    <w:rsid w:val="00F84580"/>
    <w:rsid w:val="00F873DA"/>
    <w:rsid w:val="00F95982"/>
    <w:rsid w:val="00FA006C"/>
    <w:rsid w:val="00FA190E"/>
    <w:rsid w:val="00FA288B"/>
    <w:rsid w:val="00FA2997"/>
    <w:rsid w:val="00FA2C71"/>
    <w:rsid w:val="00FB3345"/>
    <w:rsid w:val="00FD0228"/>
    <w:rsid w:val="00FD3BB7"/>
    <w:rsid w:val="00FE0D93"/>
    <w:rsid w:val="00FF2572"/>
    <w:rsid w:val="00FF32AD"/>
    <w:rsid w:val="014E2D53"/>
    <w:rsid w:val="04522A52"/>
    <w:rsid w:val="04AC2F58"/>
    <w:rsid w:val="071E3483"/>
    <w:rsid w:val="09BC1E51"/>
    <w:rsid w:val="0B37185A"/>
    <w:rsid w:val="0B7B5148"/>
    <w:rsid w:val="0DC31556"/>
    <w:rsid w:val="0DFE74AB"/>
    <w:rsid w:val="0E3C1CFB"/>
    <w:rsid w:val="0ECC307F"/>
    <w:rsid w:val="12F95DCD"/>
    <w:rsid w:val="14092680"/>
    <w:rsid w:val="19610305"/>
    <w:rsid w:val="1A3D6143"/>
    <w:rsid w:val="1C013801"/>
    <w:rsid w:val="1CEC2009"/>
    <w:rsid w:val="1DFD8D3B"/>
    <w:rsid w:val="1E9E4EDF"/>
    <w:rsid w:val="1F5C044F"/>
    <w:rsid w:val="1FB79DC9"/>
    <w:rsid w:val="1FBFC3F2"/>
    <w:rsid w:val="1FFFE033"/>
    <w:rsid w:val="221372F1"/>
    <w:rsid w:val="227B127B"/>
    <w:rsid w:val="26EF138E"/>
    <w:rsid w:val="27F352A6"/>
    <w:rsid w:val="2C2230FA"/>
    <w:rsid w:val="2D527252"/>
    <w:rsid w:val="2DDC1740"/>
    <w:rsid w:val="2EAE55F2"/>
    <w:rsid w:val="2EDF4302"/>
    <w:rsid w:val="2EFE1A04"/>
    <w:rsid w:val="313A7E60"/>
    <w:rsid w:val="340A0022"/>
    <w:rsid w:val="34B72F1C"/>
    <w:rsid w:val="351B148E"/>
    <w:rsid w:val="35BBF80F"/>
    <w:rsid w:val="374A10A8"/>
    <w:rsid w:val="38A345A1"/>
    <w:rsid w:val="3B736F08"/>
    <w:rsid w:val="3B8406BA"/>
    <w:rsid w:val="3BA6683D"/>
    <w:rsid w:val="3BE3D531"/>
    <w:rsid w:val="3C28122D"/>
    <w:rsid w:val="3CAC6CAC"/>
    <w:rsid w:val="3CBA010B"/>
    <w:rsid w:val="3D431A40"/>
    <w:rsid w:val="3E881E0F"/>
    <w:rsid w:val="3EFF42CA"/>
    <w:rsid w:val="3F6FCA38"/>
    <w:rsid w:val="3F7D178A"/>
    <w:rsid w:val="3FD5AF3D"/>
    <w:rsid w:val="3FFED8BE"/>
    <w:rsid w:val="3FFF43BB"/>
    <w:rsid w:val="42A04787"/>
    <w:rsid w:val="433DCF8E"/>
    <w:rsid w:val="45FF973D"/>
    <w:rsid w:val="47550EBA"/>
    <w:rsid w:val="4AD807B2"/>
    <w:rsid w:val="4B4E1620"/>
    <w:rsid w:val="4BF7E09D"/>
    <w:rsid w:val="4DCC62BC"/>
    <w:rsid w:val="4FFFFC3E"/>
    <w:rsid w:val="534A795F"/>
    <w:rsid w:val="53BB74FC"/>
    <w:rsid w:val="545E17CF"/>
    <w:rsid w:val="55FDDF92"/>
    <w:rsid w:val="55FFBC03"/>
    <w:rsid w:val="56CDA72E"/>
    <w:rsid w:val="576F5916"/>
    <w:rsid w:val="577FDAE2"/>
    <w:rsid w:val="57E65F99"/>
    <w:rsid w:val="57FBE2C7"/>
    <w:rsid w:val="58C819AF"/>
    <w:rsid w:val="590C739B"/>
    <w:rsid w:val="59B14918"/>
    <w:rsid w:val="59CC7A48"/>
    <w:rsid w:val="5B335734"/>
    <w:rsid w:val="5B7F322F"/>
    <w:rsid w:val="5BCAB023"/>
    <w:rsid w:val="5BF005BB"/>
    <w:rsid w:val="5D541052"/>
    <w:rsid w:val="5DA26BB4"/>
    <w:rsid w:val="5DA87DE0"/>
    <w:rsid w:val="5DDA9B94"/>
    <w:rsid w:val="5EAB810D"/>
    <w:rsid w:val="5EFF9DA6"/>
    <w:rsid w:val="5F7751B9"/>
    <w:rsid w:val="5F9F7232"/>
    <w:rsid w:val="5F9F9588"/>
    <w:rsid w:val="5FBD32D2"/>
    <w:rsid w:val="5FD450B0"/>
    <w:rsid w:val="5FDE370C"/>
    <w:rsid w:val="5FEF60CD"/>
    <w:rsid w:val="5FFB203D"/>
    <w:rsid w:val="5FFB8CF9"/>
    <w:rsid w:val="611F50A6"/>
    <w:rsid w:val="63DBAF21"/>
    <w:rsid w:val="63FF4309"/>
    <w:rsid w:val="649E1F3D"/>
    <w:rsid w:val="64BE5E92"/>
    <w:rsid w:val="64E655D4"/>
    <w:rsid w:val="6636451A"/>
    <w:rsid w:val="677E0D3D"/>
    <w:rsid w:val="67DE80AA"/>
    <w:rsid w:val="697E3B47"/>
    <w:rsid w:val="69BE2739"/>
    <w:rsid w:val="69BF132E"/>
    <w:rsid w:val="6B68554D"/>
    <w:rsid w:val="6BFEE5F3"/>
    <w:rsid w:val="6CAFF34E"/>
    <w:rsid w:val="6CFFCF4F"/>
    <w:rsid w:val="6D6B722A"/>
    <w:rsid w:val="6DFFF8B6"/>
    <w:rsid w:val="6E9FE641"/>
    <w:rsid w:val="6EEDE807"/>
    <w:rsid w:val="6EEE4BE4"/>
    <w:rsid w:val="6EF65E9C"/>
    <w:rsid w:val="6F3D9197"/>
    <w:rsid w:val="6FAB3EC4"/>
    <w:rsid w:val="6FB6AF41"/>
    <w:rsid w:val="6FD894C8"/>
    <w:rsid w:val="6FE36A9E"/>
    <w:rsid w:val="6FEFB2D1"/>
    <w:rsid w:val="6FFF97E6"/>
    <w:rsid w:val="703D7E0A"/>
    <w:rsid w:val="71397E03"/>
    <w:rsid w:val="71FB5B08"/>
    <w:rsid w:val="73FB87D9"/>
    <w:rsid w:val="75EF0FBA"/>
    <w:rsid w:val="7607C293"/>
    <w:rsid w:val="76BB191C"/>
    <w:rsid w:val="76DFA4E8"/>
    <w:rsid w:val="778720BD"/>
    <w:rsid w:val="77A7D615"/>
    <w:rsid w:val="77FE6B23"/>
    <w:rsid w:val="77FF366A"/>
    <w:rsid w:val="77FF8C96"/>
    <w:rsid w:val="77FFA8F9"/>
    <w:rsid w:val="78B2790D"/>
    <w:rsid w:val="78FF6FF6"/>
    <w:rsid w:val="7976604B"/>
    <w:rsid w:val="79F3BC78"/>
    <w:rsid w:val="7A2905B7"/>
    <w:rsid w:val="7A5B6CAA"/>
    <w:rsid w:val="7A8251CC"/>
    <w:rsid w:val="7A9314AC"/>
    <w:rsid w:val="7B4F6850"/>
    <w:rsid w:val="7BABD5C4"/>
    <w:rsid w:val="7BB12055"/>
    <w:rsid w:val="7BBFADBA"/>
    <w:rsid w:val="7BFF492D"/>
    <w:rsid w:val="7C631402"/>
    <w:rsid w:val="7C978C63"/>
    <w:rsid w:val="7CA35AD0"/>
    <w:rsid w:val="7CDF8BC3"/>
    <w:rsid w:val="7CEB72A5"/>
    <w:rsid w:val="7CED1BA4"/>
    <w:rsid w:val="7CF16C56"/>
    <w:rsid w:val="7D18750B"/>
    <w:rsid w:val="7DDFDC39"/>
    <w:rsid w:val="7E140770"/>
    <w:rsid w:val="7E5D92FB"/>
    <w:rsid w:val="7EF51D64"/>
    <w:rsid w:val="7EFFF488"/>
    <w:rsid w:val="7F574612"/>
    <w:rsid w:val="7F7F4920"/>
    <w:rsid w:val="7FB7C299"/>
    <w:rsid w:val="7FBFFB92"/>
    <w:rsid w:val="7FD76ACB"/>
    <w:rsid w:val="7FD89DA2"/>
    <w:rsid w:val="7FDBD805"/>
    <w:rsid w:val="7FDEC14D"/>
    <w:rsid w:val="7FDF8B76"/>
    <w:rsid w:val="7FDFE693"/>
    <w:rsid w:val="7FEFB5DD"/>
    <w:rsid w:val="7FEFBBD9"/>
    <w:rsid w:val="7FFD6A57"/>
    <w:rsid w:val="7FFDA7EC"/>
    <w:rsid w:val="7FFDEA1E"/>
    <w:rsid w:val="7FFEC1F6"/>
    <w:rsid w:val="7FFF2F52"/>
    <w:rsid w:val="8F7B4EC8"/>
    <w:rsid w:val="8FBD4480"/>
    <w:rsid w:val="8FF7AE96"/>
    <w:rsid w:val="955F5184"/>
    <w:rsid w:val="9F6311D7"/>
    <w:rsid w:val="9FF54399"/>
    <w:rsid w:val="A46D76C1"/>
    <w:rsid w:val="A7FF43C2"/>
    <w:rsid w:val="ABF66286"/>
    <w:rsid w:val="AD9E3F04"/>
    <w:rsid w:val="ADA70464"/>
    <w:rsid w:val="AFE97CD3"/>
    <w:rsid w:val="B1BF5C63"/>
    <w:rsid w:val="B1FF3A18"/>
    <w:rsid w:val="B3CDF284"/>
    <w:rsid w:val="B3E8107B"/>
    <w:rsid w:val="B5F66F24"/>
    <w:rsid w:val="B7F5200A"/>
    <w:rsid w:val="BABDA1AA"/>
    <w:rsid w:val="BB1B4BF1"/>
    <w:rsid w:val="BBE5FE68"/>
    <w:rsid w:val="BBFEB9C1"/>
    <w:rsid w:val="BDF7406A"/>
    <w:rsid w:val="BE6FD8DB"/>
    <w:rsid w:val="BEEF57C2"/>
    <w:rsid w:val="BF6D5596"/>
    <w:rsid w:val="BFBEBB2C"/>
    <w:rsid w:val="BFC68935"/>
    <w:rsid w:val="BFDD0F1D"/>
    <w:rsid w:val="BFDDD096"/>
    <w:rsid w:val="C5B3F496"/>
    <w:rsid w:val="C96F3E49"/>
    <w:rsid w:val="CBBF14F3"/>
    <w:rsid w:val="CBE5DCF2"/>
    <w:rsid w:val="CCFCC735"/>
    <w:rsid w:val="CEEB8A74"/>
    <w:rsid w:val="D37FB642"/>
    <w:rsid w:val="D7F99798"/>
    <w:rsid w:val="D7FF400C"/>
    <w:rsid w:val="DBED1CD4"/>
    <w:rsid w:val="DBFBB328"/>
    <w:rsid w:val="DDB854BF"/>
    <w:rsid w:val="DDD7453A"/>
    <w:rsid w:val="DE3E1FD7"/>
    <w:rsid w:val="DF376CCE"/>
    <w:rsid w:val="DFBE1B79"/>
    <w:rsid w:val="DFCF1FEC"/>
    <w:rsid w:val="DFE75A3D"/>
    <w:rsid w:val="DFED2117"/>
    <w:rsid w:val="DFEF594B"/>
    <w:rsid w:val="DFF3F960"/>
    <w:rsid w:val="DFFE0D61"/>
    <w:rsid w:val="E35C4B3C"/>
    <w:rsid w:val="E3A781CA"/>
    <w:rsid w:val="E5DFAB50"/>
    <w:rsid w:val="E6FC647F"/>
    <w:rsid w:val="EBFBC8F1"/>
    <w:rsid w:val="EBFDF757"/>
    <w:rsid w:val="ED758B5D"/>
    <w:rsid w:val="ED76A08D"/>
    <w:rsid w:val="EDBDD81F"/>
    <w:rsid w:val="EDFDB542"/>
    <w:rsid w:val="EF0FCF96"/>
    <w:rsid w:val="EF95E20F"/>
    <w:rsid w:val="EFAF7DFF"/>
    <w:rsid w:val="EFAFB283"/>
    <w:rsid w:val="EFBDA38B"/>
    <w:rsid w:val="EFEE9A76"/>
    <w:rsid w:val="F1BF6FBC"/>
    <w:rsid w:val="F1F9A9B5"/>
    <w:rsid w:val="F3779FC2"/>
    <w:rsid w:val="F3D5C239"/>
    <w:rsid w:val="F3F37DF4"/>
    <w:rsid w:val="F3F96DE6"/>
    <w:rsid w:val="F3FBC54A"/>
    <w:rsid w:val="F47BB68A"/>
    <w:rsid w:val="F47F523E"/>
    <w:rsid w:val="F69FD6B0"/>
    <w:rsid w:val="F7E7F921"/>
    <w:rsid w:val="F7F7AC6A"/>
    <w:rsid w:val="F7FD93B9"/>
    <w:rsid w:val="F93B5EE2"/>
    <w:rsid w:val="FABF64A5"/>
    <w:rsid w:val="FABF7411"/>
    <w:rsid w:val="FBA53981"/>
    <w:rsid w:val="FBE4457E"/>
    <w:rsid w:val="FBFC558A"/>
    <w:rsid w:val="FBFF71AC"/>
    <w:rsid w:val="FBFFEA2B"/>
    <w:rsid w:val="FCCB27AA"/>
    <w:rsid w:val="FCFF8F4B"/>
    <w:rsid w:val="FD9595AD"/>
    <w:rsid w:val="FDF9DD9A"/>
    <w:rsid w:val="FDFF2821"/>
    <w:rsid w:val="FDFFA696"/>
    <w:rsid w:val="FE7FB02B"/>
    <w:rsid w:val="FEBD0232"/>
    <w:rsid w:val="FED5A77F"/>
    <w:rsid w:val="FEDFD193"/>
    <w:rsid w:val="FEE7097E"/>
    <w:rsid w:val="FEEF8230"/>
    <w:rsid w:val="FEF1F1BE"/>
    <w:rsid w:val="FEF99316"/>
    <w:rsid w:val="FEFB20CB"/>
    <w:rsid w:val="FEFD95B3"/>
    <w:rsid w:val="FEFE4E93"/>
    <w:rsid w:val="FEFFA483"/>
    <w:rsid w:val="FF29B32D"/>
    <w:rsid w:val="FF2E6944"/>
    <w:rsid w:val="FF5F9D52"/>
    <w:rsid w:val="FF7A0B6A"/>
    <w:rsid w:val="FF7B6DC2"/>
    <w:rsid w:val="FF7FFF75"/>
    <w:rsid w:val="FF921F59"/>
    <w:rsid w:val="FFBB1E09"/>
    <w:rsid w:val="FFBB6A0C"/>
    <w:rsid w:val="FFBD894B"/>
    <w:rsid w:val="FFBF33B3"/>
    <w:rsid w:val="FFD09362"/>
    <w:rsid w:val="FFD1DA08"/>
    <w:rsid w:val="FFD7DEDD"/>
    <w:rsid w:val="FFDE369F"/>
    <w:rsid w:val="FFEF98C9"/>
    <w:rsid w:val="FFEFCE62"/>
    <w:rsid w:val="FFF973B0"/>
    <w:rsid w:val="FFFB4F05"/>
    <w:rsid w:val="FFFEC8F5"/>
    <w:rsid w:val="FFFEF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before="156" w:beforeLines="50" w:line="360" w:lineRule="auto"/>
      <w:ind w:firstLine="480" w:firstLineChars="200"/>
    </w:pPr>
    <w:rPr>
      <w:rFonts w:eastAsia="仿宋"/>
      <w:sz w:val="24"/>
      <w:szCs w:val="23"/>
      <w:lang w:eastAsia="ar-SA"/>
    </w:rPr>
  </w:style>
  <w:style w:type="paragraph" w:styleId="3">
    <w:name w:val="Document Map"/>
    <w:basedOn w:val="1"/>
    <w:link w:val="20"/>
    <w:qFormat/>
    <w:uiPriority w:val="0"/>
    <w:rPr>
      <w:rFonts w:ascii="宋体" w:eastAsia="宋体"/>
      <w:sz w:val="18"/>
      <w:szCs w:val="18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Chars="200"/>
    </w:pPr>
    <w:rPr>
      <w:rFonts w:ascii="仿宋_GB2312"/>
      <w:szCs w:val="32"/>
    </w:rPr>
  </w:style>
  <w:style w:type="paragraph" w:styleId="6">
    <w:name w:val="Plain Text"/>
    <w:basedOn w:val="1"/>
    <w:qFormat/>
    <w:uiPriority w:val="0"/>
    <w:pPr>
      <w:widowControl w:val="0"/>
      <w:jc w:val="both"/>
    </w:pPr>
    <w:rPr>
      <w:rFonts w:hAnsi="Courier New" w:cs="Courier New"/>
      <w:kern w:val="2"/>
      <w:sz w:val="21"/>
      <w:szCs w:val="21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12">
    <w:name w:val="Body Text First Indent 2"/>
    <w:basedOn w:val="5"/>
    <w:unhideWhenUsed/>
    <w:qFormat/>
    <w:uiPriority w:val="99"/>
    <w:pPr>
      <w:ind w:firstLine="420" w:firstLineChars="20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qFormat/>
    <w:uiPriority w:val="0"/>
  </w:style>
  <w:style w:type="paragraph" w:customStyle="1" w:styleId="17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18">
    <w:name w:val="四号正文"/>
    <w:basedOn w:val="1"/>
    <w:link w:val="19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character" w:customStyle="1" w:styleId="19">
    <w:name w:val="四号正文 Char"/>
    <w:basedOn w:val="15"/>
    <w:link w:val="18"/>
    <w:qFormat/>
    <w:uiPriority w:val="0"/>
    <w:rPr>
      <w:rFonts w:ascii="??" w:hAnsi="??" w:eastAsia="宋体" w:cs="宋体"/>
      <w:color w:val="000000"/>
      <w:sz w:val="28"/>
      <w:szCs w:val="21"/>
      <w:lang w:val="en-US" w:eastAsia="zh-CN" w:bidi="ar-SA"/>
    </w:rPr>
  </w:style>
  <w:style w:type="character" w:customStyle="1" w:styleId="20">
    <w:name w:val="文档结构图 Char"/>
    <w:basedOn w:val="15"/>
    <w:link w:val="3"/>
    <w:qFormat/>
    <w:uiPriority w:val="0"/>
    <w:rPr>
      <w:rFonts w:ascii="宋体"/>
      <w:kern w:val="2"/>
      <w:sz w:val="18"/>
      <w:szCs w:val="18"/>
    </w:rPr>
  </w:style>
  <w:style w:type="paragraph" w:customStyle="1" w:styleId="21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2">
    <w:name w:val="页脚 Char"/>
    <w:basedOn w:val="15"/>
    <w:link w:val="8"/>
    <w:qFormat/>
    <w:uiPriority w:val="99"/>
    <w:rPr>
      <w:kern w:val="2"/>
      <w:sz w:val="18"/>
      <w:szCs w:val="18"/>
    </w:rPr>
  </w:style>
  <w:style w:type="character" w:customStyle="1" w:styleId="23">
    <w:name w:val="font3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51"/>
    <w:basedOn w:val="15"/>
    <w:qFormat/>
    <w:uiPriority w:val="0"/>
    <w:rPr>
      <w:rFonts w:hint="default"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5">
    <w:name w:val="font01"/>
    <w:basedOn w:val="15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6">
    <w:name w:val="font41"/>
    <w:basedOn w:val="15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PSZX</Company>
  <Pages>10</Pages>
  <Words>4267</Words>
  <Characters>4872</Characters>
  <Lines>2</Lines>
  <Paragraphs>1</Paragraphs>
  <TotalTime>6</TotalTime>
  <ScaleCrop>false</ScaleCrop>
  <LinksUpToDate>false</LinksUpToDate>
  <CharactersWithSpaces>4938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2019-05-29T11:06:00Z</dcterms:created>
  <dc:creator>陈萍</dc:creator>
  <cp:lastModifiedBy>user</cp:lastModifiedBy>
  <cp:lastPrinted>2025-05-16T00:15:00Z</cp:lastPrinted>
  <dcterms:modified xsi:type="dcterms:W3CDTF">2025-08-28T11:42:23Z</dcterms:modified>
  <dc:title>区域性就业培训基地建设项目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98CC2AD8700242CB82700AB2ACBC7E65_13</vt:lpwstr>
  </property>
  <property fmtid="{D5CDD505-2E9C-101B-9397-08002B2CF9AE}" pid="4" name="KSOTemplateDocerSaveRecord">
    <vt:lpwstr>eyJoZGlkIjoiNGZkZDlkNjg5NWVkNWU2ZDNmZGZjYjczNjZmMTIwMmYiLCJ1c2VySWQiOiIzMjY5NjEzMjEifQ==</vt:lpwstr>
  </property>
</Properties>
</file>