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4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-66675</wp:posOffset>
            </wp:positionH>
            <wp:positionV relativeFrom="paragraph">
              <wp:posOffset>431165</wp:posOffset>
            </wp:positionV>
            <wp:extent cx="5604510" cy="2792730"/>
            <wp:effectExtent l="0" t="0" r="15240" b="7620"/>
            <wp:wrapNone/>
            <wp:docPr id="1" name="图片 2" descr="红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红头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45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pacing w:before="24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24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240" w:line="240" w:lineRule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spacing w:before="240" w:line="560" w:lineRule="exac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240" w:line="560" w:lineRule="exact"/>
        <w:ind w:firstLine="2880" w:firstLineChars="900"/>
        <w:jc w:val="both"/>
        <w:rPr>
          <w:rFonts w:hint="default" w:ascii="新宋体" w:hAnsi="新宋体" w:eastAsia="仿宋_GB2312"/>
          <w:b/>
          <w:szCs w:val="21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黑疾控</w:t>
      </w:r>
      <w:r>
        <w:rPr>
          <w:rFonts w:hint="eastAsia" w:ascii="仿宋_GB2312" w:hAnsi="华文中宋" w:eastAsia="仿宋_GB2312"/>
          <w:sz w:val="32"/>
        </w:rPr>
        <w:t>〔</w:t>
      </w:r>
      <w:r>
        <w:rPr>
          <w:rFonts w:hint="eastAsia" w:ascii="仿宋_GB2312" w:hAnsi="华文中宋" w:eastAsia="仿宋_GB2312"/>
          <w:sz w:val="32"/>
          <w:lang w:val="en-US" w:eastAsia="zh-CN"/>
        </w:rPr>
        <w:t>2025</w:t>
      </w:r>
      <w:r>
        <w:rPr>
          <w:rFonts w:ascii="仿宋_GB2312" w:hAnsi="华文中宋" w:eastAsia="仿宋_GB2312"/>
          <w:sz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22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黑水县疾病预防控制中心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十年行动计划专项预算绩效自评报告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黑体" w:hAnsi="黑体" w:eastAsia="黑体" w:cs="黑体"/>
          <w:sz w:val="44"/>
          <w:szCs w:val="44"/>
          <w:lang w:val="zh-CN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zh-CN"/>
        </w:rPr>
        <w:t>项目概况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2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  <w:t>（一）设立背景及基本情况。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月根据《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四川省财政厅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四川省卫生健康委员会关于下达2024年民族地区卫生发展十年行动计划省级补助资金的通知》（川财社〔2024〕18号）、《阿坝州财政局 阿坝州卫生健康委员会关于下达2024年民族地区卫生发展十年行动计划省级补助资金的通知》（阿州财社〔2024〕48号）</w:t>
      </w:r>
      <w:r>
        <w:rPr>
          <w:rFonts w:hint="eastAsia" w:ascii="仿宋_GB2312" w:hAnsi="仿宋_GB2312" w:eastAsia="仿宋_GB2312" w:cs="仿宋_GB2312"/>
          <w:sz w:val="32"/>
          <w:szCs w:val="32"/>
        </w:rPr>
        <w:t>等资金文件，下达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我中心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省级补助资金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55</w:t>
      </w:r>
      <w:r>
        <w:rPr>
          <w:rFonts w:hint="eastAsia" w:ascii="仿宋_GB2312" w:hAnsi="仿宋_GB2312" w:eastAsia="仿宋_GB2312" w:cs="仿宋_GB2312"/>
          <w:sz w:val="32"/>
          <w:szCs w:val="32"/>
        </w:rPr>
        <w:t>万元。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项目主要内容为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落实《“健康四川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”规划纲要》，优化重大疾病防控策略，完善艾滋病、结核病防治体系，深入推动全州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13个县（市）艾滋病和结核病防治工作，加强实验室能力建设，大力提升监测检测能力，有效遏制艾滋病、结核病疫情。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2" w:firstLineChars="200"/>
        <w:textAlignment w:val="auto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(二）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实施目的及支持方向。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根据项目资金、工作任务进行了资金量化，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落实《“健康四川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2030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”规划纲要》，优化重大疾病防控策略，完善艾滋病、结核病防治体系，深入推动我县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艾滋病和结核病防治工作，加强实验室能力建设，大力提升监测检测能力，有效遏制艾滋病、结核病疫情。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200"/>
        <w:textAlignment w:val="auto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（三）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en-US" w:eastAsia="zh-CN"/>
        </w:rPr>
        <w:t>预算安排及分配管理</w:t>
      </w: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1.专用设备购置费50万元，购买艾滋病能力建设项目用于购买流式细胞仪。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/>
          <w:lang w:val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2.专用设备购置费5万元，结核病能力建设项目用于购买光学显微镜（带成像系统</w:t>
      </w:r>
      <w:r>
        <w:rPr>
          <w:rFonts w:hint="eastAsia" w:ascii="仿宋_GB2312" w:hAnsi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 xml:space="preserve">）。  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2" w:firstLineChars="200"/>
        <w:rPr>
          <w:rFonts w:hint="default" w:ascii="Times New Roman" w:hAnsi="Times New Roman" w:cs="Times New Roman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  <w:r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 w:eastAsia="zh-CN"/>
        </w:rPr>
        <w:t>（四）项目绩效目标设置。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2024年度，我中心下达民族地区卫生发展十年行动计划省级补助资金55万元，截至2024年12月31日，资金列支55万元，资金执行率达100%。</w:t>
      </w:r>
    </w:p>
    <w:p>
      <w:pPr>
        <w:pStyle w:val="1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数量指标：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艾滋病能力建设配置设备台数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1台；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结核病能力建设配置设备台数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1台。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质量指标：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项目覆盖疾控机构服务能力较上年提升。</w:t>
      </w:r>
    </w:p>
    <w:p>
      <w:pPr>
        <w:pStyle w:val="1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时效指标：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开工率≥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</w:t>
      </w:r>
      <w:r>
        <w:rPr>
          <w:rFonts w:hint="eastAsia" w:ascii="仿宋_GB2312" w:hAnsi="仿宋_GB2312" w:eastAsia="仿宋_GB2312" w:cs="仿宋_GB2312"/>
          <w:sz w:val="32"/>
          <w:szCs w:val="32"/>
        </w:rPr>
        <w:t>效益指标：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肺结核患者病原学阳性率≥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，艾滋病病毒感染者和病人抗病毒治疗比例≥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满意度指标：受援单位满意度指标≥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85%。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二、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评价实施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（一）评价目的。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通过项目绩效自评，确定项目开展效果，项目开展内容是否达到上级部门下达的指标要求。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楷体_GB2312" w:cs="Times New Roman"/>
          <w:b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（二）预设问题及评价重点。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按照绩效评价指标体系，中心从通用指标、专用指标及个性指标对项目开展了绩效评价工作。该项目资金支出使用全过程符合项目资金实施方案要求，全部用于民族地区卫生发展十年行动计划项目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，实施效果与预计效果相符。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（三）评价选点。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项目绩效自评主要通过抽取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2024年资金拨付凭证来进行自评工作，通过核查中心拨付凭证，确定了项目资金的确用于拨付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民族地区卫生发展十年行动计划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（四）评价方法。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由于该专项资金主要用于艾滋病和结核病能力提升，资金用途明确。我中心采用单位自评法对项目进行自评工作。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（五）评价组织。</w:t>
      </w:r>
    </w:p>
    <w:p>
      <w:pPr>
        <w:pStyle w:val="1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组长：郭成慧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指导中心主任 负责全面评价工作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成员：三郎杨初 负责评价体系、框架以及评估工作</w:t>
      </w:r>
    </w:p>
    <w:p>
      <w:pPr>
        <w:pStyle w:val="1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桑 基 忠  负责财务相关评价工作</w:t>
      </w:r>
    </w:p>
    <w:p>
      <w:pPr>
        <w:pageBreakBefore w:val="0"/>
        <w:wordWrap/>
        <w:overflowPunct/>
        <w:topLinePunct w:val="0"/>
        <w:bidi w:val="0"/>
        <w:spacing w:line="560" w:lineRule="exact"/>
        <w:ind w:firstLine="1600" w:firstLineChars="5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杨 佳 军  负责设备配置相关评价工作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none"/>
          <w:lang w:val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三、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绩效分析</w:t>
      </w: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none"/>
          <w:lang w:val="zh-CN"/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 w:eastAsia="zh-CN"/>
        </w:rPr>
        <w:t>中心根据项目预算绩效评价指标体系“通用指标”“专用指标”“个性指标”三个方面对该项资金进行了全方位自评工作，具体情况如下：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（一）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通用指标</w:t>
      </w:r>
      <w:r>
        <w:rPr>
          <w:rFonts w:hint="eastAsia" w:ascii="楷体_GB2312" w:hAnsi="楷体_GB2312" w:eastAsia="楷体_GB2312" w:cs="楷体_GB2312"/>
          <w:b w:val="0"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项目决策。项目设立、调整延续等方面符合资金管理基本规范和决策程序要求。项目设立依据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《阿坝州民族地区卫生发展十年行动计划2024年项目实施方案》（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阿州卫健发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〔202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 xml:space="preserve"> 号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）。结合项目实施方案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项目充分评估了论证项目立项必要性、前瞻性、合理性和可行性；项目总体绩效目标设置合理性的偏离度≤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%；绩效目标科学合理、规范完整、量化细化、预算匹配。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属于政府支持范围，且符合财政事权支出责任划分规定；资金投向与项目总体规划、相关行业事业发展相匹配；聚焦重大任务、重点领域、重点环节和重点项目，体现“集中力量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办大事”原则；未与其他同类项目或部门内部相关项目交叉重复。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项目管理。单位未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eastAsia="zh-CN"/>
        </w:rPr>
        <w:t>针对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该项目单独设立资金管理办法，专项资金的使用严格按照项目实施方案以及财政相关规章制度执行。资金分配因素的权重设置有效突出项目实施重点，资金区域分布结果公平合理，预算管理一体化有项目库，实行入库项目动态管理，按月、按季度开展动态监控；明确项目申报审核程序，按规定程序履行项目审批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3.项目实施。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预算执行：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2024年度，我中心下达民族地区卫生发展十年行动计划省级补助资金55万元，截至2024年12月31日，资金列支55万元，资金执行率达100%。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资金使用：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资金使用、拨付符合国家财经法规、财务管理制度及有关专项资金管理制度办法规定和审批程序，不存在超范围、超标准、超进度使用专项资金，不存在资金损失浪费、长期沉淀、截留、挤占、挪用、虚列支出等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4.项目结果。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通过绩效评价，我中心已全面完成了2024年民族地区卫生发展十年行动计划项目各项指标，完成了目标任务。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outlineLvl w:val="9"/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zh-CN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（二）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专用指标</w:t>
      </w:r>
      <w:r>
        <w:rPr>
          <w:rFonts w:hint="eastAsia" w:ascii="楷体_GB2312" w:hAnsi="楷体_GB2312" w:eastAsia="楷体_GB2312" w:cs="楷体_GB2312"/>
          <w:b w:val="0"/>
          <w:bCs/>
          <w:color w:val="000000"/>
          <w:kern w:val="0"/>
          <w:sz w:val="32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zh-CN" w:eastAsia="zh-CN"/>
        </w:rPr>
        <w:t>产业发展类：该项目主要涉及产业发展类；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该项目符合政府投入要求，属于非盈利性公共卫生事业，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项目实施使本县艾滋病、结核病实验检测能力提升，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有效遏制艾滋病、结核病疫情。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zh-CN"/>
        </w:rPr>
        <w:t>（三）</w:t>
      </w: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highlight w:val="none"/>
          <w:u w:val="none"/>
          <w:lang w:val="en-US" w:eastAsia="zh-CN"/>
        </w:rPr>
        <w:t>个性指标</w:t>
      </w:r>
      <w:r>
        <w:rPr>
          <w:rFonts w:hint="eastAsia" w:ascii="楷体_GB2312" w:hAnsi="楷体_GB2312" w:eastAsia="楷体_GB2312" w:cs="楷体_GB2312"/>
          <w:b w:val="0"/>
          <w:bCs/>
          <w:color w:val="auto"/>
          <w:kern w:val="0"/>
          <w:sz w:val="32"/>
          <w:szCs w:val="32"/>
          <w:highlight w:val="none"/>
          <w:shd w:val="clear" w:color="auto" w:fill="FFFFFF"/>
          <w:lang w:val="zh-CN"/>
        </w:rPr>
        <w:t>绩效分析。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数量指标：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艾滋病能力建设配置设备台数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1台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实际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完成设备采购1台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结核病能力建设配置设备台数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实际完成设备采购1台。</w:t>
      </w:r>
    </w:p>
    <w:p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质量指标：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项目覆盖疾控机构服务能力较上年提升。</w:t>
      </w:r>
    </w:p>
    <w:p>
      <w:pPr>
        <w:pStyle w:val="14"/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left="0" w:leftChars="0" w:firstLine="640" w:firstLineChars="200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时效指标：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</w:rPr>
        <w:t>在规定时间内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开工率≥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100%，已在2024年度实施完工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firstLine="640" w:firstLineChars="200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社会</w:t>
      </w:r>
      <w:r>
        <w:rPr>
          <w:rFonts w:hint="eastAsia" w:ascii="仿宋_GB2312" w:hAnsi="仿宋_GB2312" w:eastAsia="仿宋_GB2312" w:cs="仿宋_GB2312"/>
          <w:sz w:val="32"/>
          <w:szCs w:val="32"/>
        </w:rPr>
        <w:t>效益指标：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肺结核患者病原学阳性率≥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，实际完成率达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71.15%；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艾滋病病毒感染者和病人抗病毒治疗比例≥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90%，实际完成率达90%。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  <w:t>满意度指标：受援单位满意度指标≥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en-US" w:eastAsia="zh-CN"/>
        </w:rPr>
        <w:t>85%，满意度达100%。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四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</w:rPr>
        <w:t>、评价结论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黑体" w:hAnsi="黑体" w:cs="黑体"/>
          <w:b w:val="0"/>
          <w:bCs w:val="0"/>
          <w:kern w:val="2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该项专项预算项目绩效自评总体结论优异，自评得分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position w:val="0"/>
          <w:sz w:val="32"/>
          <w:szCs w:val="32"/>
          <w:highlight w:val="none"/>
          <w:lang w:val="en-US" w:eastAsia="zh-CN" w:bidi="ar-SA"/>
        </w:rPr>
        <w:t>99</w:t>
      </w:r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分，项目实施范围符合省级要求，并按照完成了项目资金拨付，资金使用率达100%。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highlight w:val="none"/>
          <w:u w:val="none"/>
          <w:lang w:eastAsia="zh-CN"/>
        </w:rPr>
        <w:t>五、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u w:val="none"/>
          <w:lang w:eastAsia="zh-CN"/>
        </w:rPr>
        <w:t>存在主要问题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eastAsia="仿宋_GB2312" w:cs="Times New Roman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</w:p>
    <w:p>
      <w:pPr>
        <w:pStyle w:val="5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0"/>
          <w:position w:val="3"/>
          <w:sz w:val="32"/>
          <w:szCs w:val="32"/>
          <w:highlight w:val="none"/>
          <w:u w:val="none"/>
          <w:lang w:val="zh-CN" w:eastAsia="zh-CN" w:bidi="ar-SA"/>
        </w:rPr>
        <w:t>六、改进建议</w:t>
      </w:r>
    </w:p>
    <w:p>
      <w:pPr>
        <w:keepNext w:val="0"/>
        <w:keepLines w:val="0"/>
        <w:pageBreakBefore w:val="0"/>
        <w:tabs>
          <w:tab w:val="left" w:pos="1911"/>
        </w:tabs>
        <w:wordWrap/>
        <w:overflowPunct/>
        <w:topLinePunct w:val="0"/>
        <w:bidi w:val="0"/>
        <w:spacing w:line="560" w:lineRule="exact"/>
        <w:ind w:firstLine="640"/>
        <w:jc w:val="left"/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</w:pPr>
      <w:bookmarkStart w:id="0" w:name="_Hlk110546638"/>
      <w:r>
        <w:rPr>
          <w:rFonts w:hint="eastAsia" w:ascii="仿宋_GB2312" w:hAnsi="仿宋_GB2312" w:eastAsia="仿宋_GB2312" w:cs="仿宋_GB2312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-SA"/>
        </w:rPr>
        <w:t>无</w:t>
      </w:r>
      <w:bookmarkEnd w:id="0"/>
    </w:p>
    <w:p>
      <w:pPr>
        <w:pStyle w:val="2"/>
        <w:pageBreakBefore w:val="0"/>
        <w:wordWrap/>
        <w:overflowPunct/>
        <w:topLinePunct w:val="0"/>
        <w:bidi w:val="0"/>
        <w:spacing w:line="560" w:lineRule="exact"/>
        <w:ind w:firstLine="640"/>
        <w:rPr>
          <w:rFonts w:hint="default"/>
          <w:lang w:val="zh-CN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2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3998595</wp:posOffset>
            </wp:positionH>
            <wp:positionV relativeFrom="paragraph">
              <wp:posOffset>187325</wp:posOffset>
            </wp:positionV>
            <wp:extent cx="1487805" cy="1458595"/>
            <wp:effectExtent l="50165" t="48895" r="53340" b="63500"/>
            <wp:wrapNone/>
            <wp:docPr id="2" name="图片 2" descr="微信图片_20210824105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08241056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16440000">
                      <a:off x="0" y="0"/>
                      <a:ext cx="1487805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right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黑水县疾病预防控制中心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2025年5月20日</w:t>
      </w:r>
    </w:p>
    <w:p>
      <w:pPr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8" w:lineRule="exact"/>
        <w:textAlignment w:val="auto"/>
        <w:outlineLvl w:val="9"/>
        <w:rPr>
          <w:rFonts w:hint="default" w:ascii="Times New Roman" w:hAnsi="Times New Roman" w:eastAsia="黑体" w:cs="Times New Roman"/>
          <w:b w:val="0"/>
          <w:bCs w:val="0"/>
          <w:color w:val="auto"/>
          <w:kern w:val="0"/>
          <w:sz w:val="32"/>
          <w:szCs w:val="32"/>
          <w:highlight w:val="none"/>
          <w:u w:val="none"/>
          <w:shd w:val="clear" w:color="auto" w:fill="FFFFFF"/>
          <w:lang w:val="zh-CN" w:eastAsia="zh-CN"/>
        </w:rPr>
      </w:pPr>
    </w:p>
    <w:p>
      <w:pPr>
        <w:pStyle w:val="2"/>
        <w:rPr>
          <w:rFonts w:hint="eastAsia"/>
          <w:lang w:val="en-US" w:eastAsia="zh-CN"/>
        </w:rPr>
      </w:pPr>
    </w:p>
    <w:p>
      <w:pPr>
        <w:pStyle w:val="7"/>
        <w:keepNext w:val="0"/>
        <w:keepLines w:val="0"/>
        <w:pageBreakBefore w:val="0"/>
        <w:pBdr>
          <w:top w:val="single" w:color="auto" w:sz="4" w:space="1"/>
          <w:bottom w:val="single" w:color="auto" w:sz="4" w:space="1"/>
          <w:between w:val="single" w:color="auto" w:sz="4" w:space="1"/>
        </w:pBdr>
        <w:kinsoku/>
        <w:wordWrap/>
        <w:overflowPunct/>
        <w:topLinePunct w:val="0"/>
        <w:bidi w:val="0"/>
        <w:snapToGrid/>
        <w:spacing w:line="560" w:lineRule="exact"/>
        <w:ind w:firstLine="140" w:firstLineChars="50"/>
        <w:jc w:val="left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黑水县</w:t>
      </w:r>
      <w:r>
        <w:rPr>
          <w:rFonts w:hint="eastAsia" w:ascii="仿宋_GB2312" w:eastAsia="仿宋_GB2312"/>
          <w:sz w:val="28"/>
          <w:szCs w:val="28"/>
        </w:rPr>
        <w:t xml:space="preserve">疾病预防控制中心          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20</w:t>
      </w:r>
      <w:r>
        <w:rPr>
          <w:rFonts w:hint="eastAsia" w:ascii="仿宋_GB2312" w:eastAsia="仿宋_GB2312"/>
          <w:sz w:val="28"/>
          <w:szCs w:val="28"/>
        </w:rPr>
        <w:t>日印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40" w:lineRule="atLeast"/>
        <w:textAlignment w:val="baseline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sectPr>
      <w:footerReference r:id="rId3" w:type="even"/>
      <w:pgSz w:w="11907" w:h="17010"/>
      <w:pgMar w:top="2098" w:right="1474" w:bottom="1985" w:left="1588" w:header="851" w:footer="153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AR PL UKai C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AR PL UKai CN">
    <w:panose1 w:val="02000503000000000000"/>
    <w:charset w:val="86"/>
    <w:family w:val="auto"/>
    <w:pitch w:val="default"/>
    <w:sig w:usb0="A00002FF" w:usb1="3ACFFDFF" w:usb2="00000036" w:usb3="00000000" w:csb0="2016009F" w:csb1="DFD7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1"/>
      <w:ind w:left="315" w:leftChars="150" w:right="315" w:rightChars="150"/>
      <w:jc w:val="both"/>
      <w:rPr>
        <w:rFonts w:ascii="宋体" w:hAnsi="宋体"/>
        <w:sz w:val="30"/>
        <w:szCs w:val="30"/>
      </w:rPr>
    </w:pPr>
    <w:r>
      <w:rPr>
        <w:rFonts w:hint="eastAsia" w:ascii="宋体" w:hAnsi="宋体"/>
        <w:sz w:val="30"/>
        <w:szCs w:val="30"/>
      </w:rPr>
      <w:t xml:space="preserve">― </w:t>
    </w:r>
    <w:r>
      <w:rPr>
        <w:rFonts w:hint="eastAsia" w:ascii="宋体" w:hAnsi="宋体"/>
        <w:sz w:val="30"/>
        <w:szCs w:val="30"/>
      </w:rPr>
      <w:fldChar w:fldCharType="begin"/>
    </w:r>
    <w:r>
      <w:rPr>
        <w:rFonts w:hint="eastAsia" w:ascii="宋体" w:hAnsi="宋体"/>
        <w:sz w:val="30"/>
        <w:szCs w:val="30"/>
      </w:rPr>
      <w:instrText xml:space="preserve"> PAGE </w:instrText>
    </w:r>
    <w:r>
      <w:rPr>
        <w:rFonts w:hint="eastAsia" w:ascii="宋体" w:hAnsi="宋体"/>
        <w:sz w:val="30"/>
        <w:szCs w:val="30"/>
      </w:rPr>
      <w:fldChar w:fldCharType="separate"/>
    </w:r>
    <w:r>
      <w:rPr>
        <w:rFonts w:ascii="宋体" w:hAnsi="宋体"/>
        <w:sz w:val="30"/>
        <w:szCs w:val="30"/>
      </w:rPr>
      <w:t>2</w:t>
    </w:r>
    <w:r>
      <w:rPr>
        <w:rFonts w:hint="eastAsia" w:ascii="宋体" w:hAnsi="宋体"/>
        <w:sz w:val="30"/>
        <w:szCs w:val="30"/>
      </w:rPr>
      <w:fldChar w:fldCharType="end"/>
    </w:r>
    <w:r>
      <w:rPr>
        <w:rFonts w:hint="eastAsia" w:ascii="宋体" w:hAnsi="宋体"/>
        <w:sz w:val="30"/>
        <w:szCs w:val="30"/>
      </w:rPr>
      <w:t xml:space="preserve"> ―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hideSpellingErrors/>
  <w:attachedTemplate r:id="rId1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3ZjRlNDcxMGM3ZTIwNjk2NTllYjNmMWUxZDQzYzIifQ=="/>
  </w:docVars>
  <w:rsids>
    <w:rsidRoot w:val="003E28AB"/>
    <w:rsid w:val="000313C5"/>
    <w:rsid w:val="0005691A"/>
    <w:rsid w:val="00060809"/>
    <w:rsid w:val="0008343D"/>
    <w:rsid w:val="000D2889"/>
    <w:rsid w:val="00121037"/>
    <w:rsid w:val="00130C2E"/>
    <w:rsid w:val="00132A4B"/>
    <w:rsid w:val="00134692"/>
    <w:rsid w:val="0019433E"/>
    <w:rsid w:val="001E3CA4"/>
    <w:rsid w:val="001E532D"/>
    <w:rsid w:val="002107D3"/>
    <w:rsid w:val="00263D4F"/>
    <w:rsid w:val="00267874"/>
    <w:rsid w:val="00276BF6"/>
    <w:rsid w:val="002A67C1"/>
    <w:rsid w:val="002B6B2C"/>
    <w:rsid w:val="002D2AEA"/>
    <w:rsid w:val="002E2950"/>
    <w:rsid w:val="00324ED7"/>
    <w:rsid w:val="00327512"/>
    <w:rsid w:val="00330B1D"/>
    <w:rsid w:val="00372878"/>
    <w:rsid w:val="003A255E"/>
    <w:rsid w:val="003B5246"/>
    <w:rsid w:val="003C4F6C"/>
    <w:rsid w:val="003C55B1"/>
    <w:rsid w:val="003D1848"/>
    <w:rsid w:val="003E28AB"/>
    <w:rsid w:val="003E59EA"/>
    <w:rsid w:val="004B3ED2"/>
    <w:rsid w:val="004C662B"/>
    <w:rsid w:val="00500D93"/>
    <w:rsid w:val="00546FE8"/>
    <w:rsid w:val="0056277D"/>
    <w:rsid w:val="005705D6"/>
    <w:rsid w:val="0057571B"/>
    <w:rsid w:val="0059163B"/>
    <w:rsid w:val="00611264"/>
    <w:rsid w:val="006350DC"/>
    <w:rsid w:val="006617D0"/>
    <w:rsid w:val="006645A1"/>
    <w:rsid w:val="006B63E9"/>
    <w:rsid w:val="007238A1"/>
    <w:rsid w:val="007356DF"/>
    <w:rsid w:val="00742B93"/>
    <w:rsid w:val="00744A60"/>
    <w:rsid w:val="007C6C64"/>
    <w:rsid w:val="007D121D"/>
    <w:rsid w:val="007D4A33"/>
    <w:rsid w:val="007D4FF4"/>
    <w:rsid w:val="00822DFA"/>
    <w:rsid w:val="00845A67"/>
    <w:rsid w:val="00855491"/>
    <w:rsid w:val="008576FE"/>
    <w:rsid w:val="00863EFA"/>
    <w:rsid w:val="008839AF"/>
    <w:rsid w:val="00894AEA"/>
    <w:rsid w:val="008958EB"/>
    <w:rsid w:val="008A69DA"/>
    <w:rsid w:val="008E0B1E"/>
    <w:rsid w:val="008F4501"/>
    <w:rsid w:val="009146B1"/>
    <w:rsid w:val="00941FB6"/>
    <w:rsid w:val="00946217"/>
    <w:rsid w:val="009803E7"/>
    <w:rsid w:val="009A6C3C"/>
    <w:rsid w:val="009C2CB5"/>
    <w:rsid w:val="00A74311"/>
    <w:rsid w:val="00AB00B5"/>
    <w:rsid w:val="00AB69DB"/>
    <w:rsid w:val="00AD6146"/>
    <w:rsid w:val="00AE17C3"/>
    <w:rsid w:val="00AF2240"/>
    <w:rsid w:val="00B02D2B"/>
    <w:rsid w:val="00B647C3"/>
    <w:rsid w:val="00B87748"/>
    <w:rsid w:val="00BC5A72"/>
    <w:rsid w:val="00C65602"/>
    <w:rsid w:val="00C738DA"/>
    <w:rsid w:val="00CA48E6"/>
    <w:rsid w:val="00CC05BD"/>
    <w:rsid w:val="00D0743E"/>
    <w:rsid w:val="00D508B9"/>
    <w:rsid w:val="00DF4911"/>
    <w:rsid w:val="00E17DD5"/>
    <w:rsid w:val="00E30327"/>
    <w:rsid w:val="00E60171"/>
    <w:rsid w:val="00E64F86"/>
    <w:rsid w:val="00E83D19"/>
    <w:rsid w:val="00EA4C38"/>
    <w:rsid w:val="00EB1343"/>
    <w:rsid w:val="00EB7997"/>
    <w:rsid w:val="00F13FC9"/>
    <w:rsid w:val="00F449E2"/>
    <w:rsid w:val="00F7138E"/>
    <w:rsid w:val="00FB05B4"/>
    <w:rsid w:val="00FF0EED"/>
    <w:rsid w:val="05524952"/>
    <w:rsid w:val="06E445EA"/>
    <w:rsid w:val="07A735CC"/>
    <w:rsid w:val="0BA614B9"/>
    <w:rsid w:val="1BB9554D"/>
    <w:rsid w:val="204B6033"/>
    <w:rsid w:val="236B0C61"/>
    <w:rsid w:val="25B03DE2"/>
    <w:rsid w:val="318C4BC4"/>
    <w:rsid w:val="33664FA1"/>
    <w:rsid w:val="45015701"/>
    <w:rsid w:val="47DB040C"/>
    <w:rsid w:val="495B3342"/>
    <w:rsid w:val="4AD22143"/>
    <w:rsid w:val="4F2D1A89"/>
    <w:rsid w:val="53B62910"/>
    <w:rsid w:val="55BA5C3A"/>
    <w:rsid w:val="563D3E2F"/>
    <w:rsid w:val="5835551B"/>
    <w:rsid w:val="6AC00E5F"/>
    <w:rsid w:val="72692180"/>
    <w:rsid w:val="74367B7D"/>
    <w:rsid w:val="754077FF"/>
    <w:rsid w:val="76DC2E5A"/>
    <w:rsid w:val="7AB27FC7"/>
    <w:rsid w:val="7D7FF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qFormat="1" w:uiPriority="99" w:semiHidden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jc w:val="left"/>
      <w:outlineLvl w:val="3"/>
    </w:pPr>
    <w:rPr>
      <w:rFonts w:asciiTheme="majorHAnsi" w:hAnsiTheme="majorHAnsi" w:cstheme="majorBidi"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jc w:val="left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  <w:style w:type="paragraph" w:styleId="5">
    <w:name w:val="Body Text"/>
    <w:basedOn w:val="1"/>
    <w:qFormat/>
    <w:uiPriority w:val="99"/>
    <w:pPr>
      <w:widowControl/>
      <w:tabs>
        <w:tab w:val="left" w:pos="2160"/>
      </w:tabs>
      <w:spacing w:line="480" w:lineRule="auto"/>
      <w:jc w:val="left"/>
    </w:pPr>
    <w:rPr>
      <w:rFonts w:ascii="楷体_GB2312" w:eastAsia="黑体"/>
      <w:kern w:val="0"/>
      <w:position w:val="3"/>
      <w:sz w:val="20"/>
      <w:szCs w:val="20"/>
      <w:lang w:eastAsia="en-US"/>
    </w:rPr>
  </w:style>
  <w:style w:type="paragraph" w:styleId="6">
    <w:name w:val="Body Text Indent"/>
    <w:basedOn w:val="1"/>
    <w:qFormat/>
    <w:uiPriority w:val="0"/>
    <w:pPr>
      <w:ind w:firstLine="4680" w:firstLineChars="1300"/>
    </w:pPr>
    <w:rPr>
      <w:rFonts w:eastAsia="仿宋_GB2312"/>
      <w:b/>
      <w:bCs/>
      <w:sz w:val="36"/>
    </w:rPr>
  </w:style>
  <w:style w:type="paragraph" w:styleId="7">
    <w:name w:val="Plain Text"/>
    <w:basedOn w:val="1"/>
    <w:qFormat/>
    <w:uiPriority w:val="0"/>
    <w:pPr>
      <w:widowControl w:val="0"/>
      <w:jc w:val="both"/>
    </w:pPr>
    <w:rPr>
      <w:rFonts w:hAnsi="Courier New" w:cs="Courier New"/>
      <w:kern w:val="2"/>
      <w:sz w:val="21"/>
      <w:szCs w:val="21"/>
    </w:rPr>
  </w:style>
  <w:style w:type="paragraph" w:styleId="8">
    <w:name w:val="Date"/>
    <w:basedOn w:val="1"/>
    <w:next w:val="1"/>
    <w:qFormat/>
    <w:uiPriority w:val="0"/>
  </w:style>
  <w:style w:type="paragraph" w:styleId="9">
    <w:name w:val="Body Text Indent 2"/>
    <w:basedOn w:val="1"/>
    <w:qFormat/>
    <w:uiPriority w:val="0"/>
    <w:pPr>
      <w:spacing w:before="240"/>
      <w:ind w:firstLine="720" w:firstLineChars="225"/>
    </w:pPr>
    <w:rPr>
      <w:rFonts w:ascii="仿宋_GB2312" w:eastAsia="仿宋_GB2312"/>
      <w:sz w:val="32"/>
      <w:szCs w:val="32"/>
    </w:rPr>
  </w:style>
  <w:style w:type="paragraph" w:styleId="10">
    <w:name w:val="Balloon Text"/>
    <w:basedOn w:val="1"/>
    <w:link w:val="21"/>
    <w:semiHidden/>
    <w:unhideWhenUsed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qFormat/>
    <w:uiPriority w:val="0"/>
    <w:pPr>
      <w:ind w:firstLine="640" w:firstLineChars="200"/>
    </w:pPr>
    <w:rPr>
      <w:rFonts w:ascii="仿宋_GB2312" w:eastAsia="仿宋_GB2312"/>
      <w:sz w:val="32"/>
    </w:rPr>
  </w:style>
  <w:style w:type="paragraph" w:styleId="14">
    <w:name w:val="table of figures"/>
    <w:basedOn w:val="1"/>
    <w:next w:val="1"/>
    <w:unhideWhenUsed/>
    <w:qFormat/>
    <w:uiPriority w:val="99"/>
    <w:pPr>
      <w:ind w:left="200" w:leftChars="200" w:hanging="200" w:hangingChars="200"/>
    </w:pPr>
  </w:style>
  <w:style w:type="paragraph" w:styleId="15">
    <w:name w:val="Body Text First Indent 2"/>
    <w:basedOn w:val="6"/>
    <w:unhideWhenUsed/>
    <w:qFormat/>
    <w:uiPriority w:val="99"/>
    <w:pPr>
      <w:ind w:firstLine="420" w:firstLineChars="200"/>
    </w:pPr>
  </w:style>
  <w:style w:type="table" w:styleId="17">
    <w:name w:val="Table Grid"/>
    <w:basedOn w:val="1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qFormat/>
    <w:uiPriority w:val="0"/>
  </w:style>
  <w:style w:type="character" w:styleId="20">
    <w:name w:val="Hyperlink"/>
    <w:basedOn w:val="18"/>
    <w:qFormat/>
    <w:uiPriority w:val="0"/>
    <w:rPr>
      <w:color w:val="0000FF"/>
      <w:u w:val="single"/>
    </w:rPr>
  </w:style>
  <w:style w:type="character" w:customStyle="1" w:styleId="21">
    <w:name w:val="批注框文本 Char"/>
    <w:basedOn w:val="18"/>
    <w:link w:val="10"/>
    <w:semiHidden/>
    <w:qFormat/>
    <w:uiPriority w:val="0"/>
    <w:rPr>
      <w:kern w:val="2"/>
      <w:sz w:val="18"/>
      <w:szCs w:val="18"/>
    </w:rPr>
  </w:style>
  <w:style w:type="paragraph" w:customStyle="1" w:styleId="22">
    <w:name w:val="四号正文"/>
    <w:basedOn w:val="1"/>
    <w:qFormat/>
    <w:uiPriority w:val="0"/>
    <w:pPr>
      <w:spacing w:line="360" w:lineRule="auto"/>
    </w:pPr>
    <w:rPr>
      <w:rFonts w:ascii="??" w:hAnsi="??" w:eastAsia="宋体"/>
      <w:color w:val="000000"/>
      <w:kern w:val="0"/>
      <w:sz w:val="28"/>
      <w:szCs w:val="21"/>
      <w:lang w:val="zh-CN" w:eastAsia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home/user/C:\Users\lenovo\Desktop\&#26032;&#24314;&#25991;&#20214;&#22841;%20(3)\2024&#24180;&#24029;&#30142;&#21457;&#65288;&#24179;&#34892;&#65289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2024年川疾发（平行）.dot</Template>
  <Pages>6</Pages>
  <Words>3998</Words>
  <Characters>4196</Characters>
  <Lines>46</Lines>
  <Paragraphs>13</Paragraphs>
  <TotalTime>12</TotalTime>
  <ScaleCrop>false</ScaleCrop>
  <LinksUpToDate>false</LinksUpToDate>
  <CharactersWithSpaces>4324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2024-03-28T18:01:00Z</dcterms:created>
  <dc:creator>梁传惠</dc:creator>
  <cp:lastModifiedBy>user</cp:lastModifiedBy>
  <cp:lastPrinted>2024-12-27T19:39:00Z</cp:lastPrinted>
  <dcterms:modified xsi:type="dcterms:W3CDTF">2025-11-13T10:18:12Z</dcterms:modified>
  <dc:title>关于建立西南疾病预防控制培训基地的报告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D190A548B8A24EA18A5F60F3C6913BE0_13</vt:lpwstr>
  </property>
  <property fmtid="{D5CDD505-2E9C-101B-9397-08002B2CF9AE}" pid="4" name="KSOTemplateDocerSaveRecord">
    <vt:lpwstr>eyJoZGlkIjoiNGZkZDlkNjg5NWVkNWU2ZDNmZGZjYjczNjZmMTIwMmYiLCJ1c2VySWQiOiIzMjY5NjEzMjEifQ==</vt:lpwstr>
  </property>
</Properties>
</file>