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40"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drawing>
          <wp:anchor distT="0" distB="0" distL="114300" distR="114300" simplePos="0" relativeHeight="251659264" behindDoc="1" locked="0" layoutInCell="1" allowOverlap="1">
            <wp:simplePos x="0" y="0"/>
            <wp:positionH relativeFrom="column">
              <wp:posOffset>-66675</wp:posOffset>
            </wp:positionH>
            <wp:positionV relativeFrom="paragraph">
              <wp:posOffset>431165</wp:posOffset>
            </wp:positionV>
            <wp:extent cx="5604510" cy="2792730"/>
            <wp:effectExtent l="0" t="0" r="15240" b="7620"/>
            <wp:wrapNone/>
            <wp:docPr id="2" name="图片 2" descr="红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红头"/>
                    <pic:cNvPicPr>
                      <a:picLocks noChangeAspect="1"/>
                    </pic:cNvPicPr>
                  </pic:nvPicPr>
                  <pic:blipFill>
                    <a:blip r:embed="rId5"/>
                    <a:stretch>
                      <a:fillRect/>
                    </a:stretch>
                  </pic:blipFill>
                  <pic:spPr>
                    <a:xfrm>
                      <a:off x="0" y="0"/>
                      <a:ext cx="5604510" cy="2792730"/>
                    </a:xfrm>
                    <a:prstGeom prst="rect">
                      <a:avLst/>
                    </a:prstGeom>
                    <a:noFill/>
                    <a:ln>
                      <a:noFill/>
                    </a:ln>
                  </pic:spPr>
                </pic:pic>
              </a:graphicData>
            </a:graphic>
          </wp:anchor>
        </w:drawing>
      </w:r>
    </w:p>
    <w:p>
      <w:pPr>
        <w:spacing w:before="240" w:line="560" w:lineRule="exact"/>
        <w:rPr>
          <w:rFonts w:hint="eastAsia" w:ascii="仿宋_GB2312" w:hAnsi="仿宋_GB2312" w:eastAsia="仿宋_GB2312" w:cs="仿宋_GB2312"/>
          <w:sz w:val="32"/>
          <w:szCs w:val="32"/>
        </w:rPr>
      </w:pPr>
    </w:p>
    <w:p>
      <w:pPr>
        <w:spacing w:before="240" w:line="560" w:lineRule="exact"/>
        <w:rPr>
          <w:rFonts w:hint="eastAsia" w:ascii="仿宋_GB2312" w:hAnsi="仿宋_GB2312" w:eastAsia="仿宋_GB2312" w:cs="仿宋_GB2312"/>
          <w:sz w:val="32"/>
          <w:szCs w:val="32"/>
        </w:rPr>
      </w:pPr>
    </w:p>
    <w:p>
      <w:pPr>
        <w:spacing w:before="240" w:line="240" w:lineRule="auto"/>
        <w:rPr>
          <w:rFonts w:hint="eastAsia" w:ascii="仿宋_GB2312" w:hAnsi="仿宋_GB2312" w:eastAsia="仿宋_GB2312" w:cs="仿宋_GB2312"/>
          <w:sz w:val="32"/>
          <w:szCs w:val="32"/>
          <w:lang w:eastAsia="zh-CN"/>
        </w:rPr>
      </w:pPr>
    </w:p>
    <w:p>
      <w:pPr>
        <w:spacing w:before="240" w:line="560" w:lineRule="exact"/>
        <w:rPr>
          <w:rFonts w:hint="eastAsia" w:ascii="仿宋_GB2312" w:hAnsi="仿宋_GB2312" w:eastAsia="仿宋_GB2312" w:cs="仿宋_GB2312"/>
          <w:sz w:val="32"/>
          <w:szCs w:val="32"/>
        </w:rPr>
      </w:pPr>
    </w:p>
    <w:p>
      <w:pPr>
        <w:spacing w:before="240" w:line="560" w:lineRule="exact"/>
        <w:ind w:firstLine="2880" w:firstLineChars="900"/>
        <w:jc w:val="both"/>
        <w:rPr>
          <w:rFonts w:hint="default" w:ascii="新宋体" w:hAnsi="新宋体" w:eastAsia="仿宋_GB2312"/>
          <w:b/>
          <w:szCs w:val="21"/>
          <w:lang w:val="en-US" w:eastAsia="zh-CN"/>
        </w:rPr>
      </w:pPr>
      <w:r>
        <w:rPr>
          <w:rFonts w:hint="eastAsia" w:ascii="仿宋_GB2312" w:hAnsi="仿宋_GB2312" w:eastAsia="仿宋_GB2312" w:cs="仿宋_GB2312"/>
          <w:sz w:val="32"/>
          <w:szCs w:val="32"/>
        </w:rPr>
        <w:t>黑疾控</w:t>
      </w:r>
      <w:r>
        <w:rPr>
          <w:rFonts w:hint="eastAsia" w:ascii="仿宋_GB2312" w:hAnsi="华文中宋" w:eastAsia="仿宋_GB2312"/>
          <w:sz w:val="32"/>
        </w:rPr>
        <w:t>〔</w:t>
      </w:r>
      <w:r>
        <w:rPr>
          <w:rFonts w:hint="eastAsia" w:ascii="仿宋_GB2312" w:hAnsi="华文中宋" w:eastAsia="仿宋_GB2312"/>
          <w:sz w:val="32"/>
          <w:lang w:val="en-US" w:eastAsia="zh-CN"/>
        </w:rPr>
        <w:t>2025</w:t>
      </w:r>
      <w:r>
        <w:rPr>
          <w:rFonts w:ascii="仿宋_GB2312" w:hAnsi="华文中宋" w:eastAsia="仿宋_GB2312"/>
          <w:sz w:val="32"/>
        </w:rPr>
        <w:t>〕</w:t>
      </w:r>
      <w:r>
        <w:rPr>
          <w:rFonts w:hint="eastAsia" w:ascii="仿宋_GB2312" w:hAnsi="仿宋_GB2312" w:eastAsia="仿宋_GB2312" w:cs="仿宋_GB2312"/>
          <w:sz w:val="32"/>
          <w:szCs w:val="32"/>
          <w:lang w:val="en-US" w:eastAsia="zh-CN"/>
        </w:rPr>
        <w:t>2</w:t>
      </w:r>
      <w:r>
        <w:rPr>
          <w:rFonts w:hint="eastAsia" w:ascii="仿宋_GB2312" w:hAnsi="仿宋_GB2312" w:cs="仿宋_GB2312"/>
          <w:sz w:val="32"/>
          <w:szCs w:val="32"/>
          <w:lang w:val="en-US" w:eastAsia="zh-CN"/>
        </w:rPr>
        <w:t>9</w:t>
      </w:r>
      <w:r>
        <w:rPr>
          <w:rFonts w:hint="eastAsia" w:ascii="仿宋_GB2312" w:hAnsi="仿宋_GB2312" w:eastAsia="仿宋_GB2312" w:cs="仿宋_GB2312"/>
          <w:sz w:val="32"/>
          <w:szCs w:val="32"/>
        </w:rPr>
        <w:t>号</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kinsoku/>
        <w:wordWrap/>
        <w:overflowPunct/>
        <w:topLinePunct w:val="0"/>
        <w:autoSpaceDE/>
        <w:autoSpaceDN/>
        <w:bidi w:val="0"/>
        <w:spacing w:line="578" w:lineRule="exact"/>
        <w:ind w:firstLine="1325" w:firstLineChars="300"/>
        <w:contextualSpacing/>
        <w:jc w:val="center"/>
        <w:textAlignment w:val="auto"/>
        <w:outlineLvl w:val="9"/>
        <w:rPr>
          <w:rFonts w:hint="eastAsia" w:ascii="方正小标宋_GBK" w:hAnsi="方正小标宋_GBK" w:eastAsia="方正小标宋_GBK" w:cs="方正小标宋_GBK"/>
          <w:b/>
          <w:bCs w:val="0"/>
          <w:sz w:val="44"/>
          <w:szCs w:val="44"/>
          <w:highlight w:val="none"/>
          <w:shd w:val="clear" w:color="auto" w:fill="FFFFFF"/>
          <w:lang w:val="en-US" w:eastAsia="zh-CN"/>
        </w:rPr>
      </w:pPr>
      <w:r>
        <w:rPr>
          <w:rFonts w:hint="eastAsia" w:ascii="方正小标宋_GBK" w:hAnsi="方正小标宋_GBK" w:eastAsia="方正小标宋_GBK" w:cs="方正小标宋_GBK"/>
          <w:b/>
          <w:bCs w:val="0"/>
          <w:sz w:val="44"/>
          <w:szCs w:val="44"/>
          <w:highlight w:val="none"/>
          <w:shd w:val="clear" w:color="auto" w:fill="FFFFFF"/>
          <w:lang w:val="en-US" w:eastAsia="zh-CN"/>
        </w:rPr>
        <w:t>黑水县疾病预防控制中心</w:t>
      </w:r>
    </w:p>
    <w:p>
      <w:pPr>
        <w:keepNext w:val="0"/>
        <w:keepLines w:val="0"/>
        <w:pageBreakBefore w:val="0"/>
        <w:widowControl/>
        <w:kinsoku/>
        <w:wordWrap/>
        <w:overflowPunct/>
        <w:topLinePunct w:val="0"/>
        <w:autoSpaceDE/>
        <w:autoSpaceDN/>
        <w:bidi w:val="0"/>
        <w:spacing w:line="578" w:lineRule="exact"/>
        <w:ind w:firstLine="883" w:firstLineChars="200"/>
        <w:contextualSpacing/>
        <w:jc w:val="center"/>
        <w:textAlignment w:val="auto"/>
        <w:outlineLvl w:val="9"/>
        <w:rPr>
          <w:rFonts w:hint="eastAsia" w:ascii="方正小标宋_GBK" w:hAnsi="方正小标宋_GBK" w:eastAsia="方正小标宋_GBK" w:cs="方正小标宋_GBK"/>
          <w:b/>
          <w:bCs w:val="0"/>
          <w:sz w:val="44"/>
          <w:szCs w:val="44"/>
          <w:highlight w:val="none"/>
          <w:shd w:val="clear" w:color="auto" w:fill="FFFFFF"/>
          <w:lang w:val="en-US" w:eastAsia="zh-CN"/>
        </w:rPr>
      </w:pPr>
      <w:r>
        <w:rPr>
          <w:rFonts w:hint="eastAsia" w:ascii="方正小标宋_GBK" w:hAnsi="方正小标宋_GBK" w:eastAsia="方正小标宋_GBK" w:cs="方正小标宋_GBK"/>
          <w:b/>
          <w:bCs w:val="0"/>
          <w:sz w:val="44"/>
          <w:szCs w:val="44"/>
          <w:highlight w:val="none"/>
          <w:shd w:val="clear" w:color="auto" w:fill="FFFFFF"/>
          <w:lang w:val="en-US" w:eastAsia="zh-CN"/>
        </w:rPr>
        <w:t>县级传染病报告管理经费专项预算</w:t>
      </w:r>
    </w:p>
    <w:p>
      <w:pPr>
        <w:keepNext w:val="0"/>
        <w:keepLines w:val="0"/>
        <w:pageBreakBefore w:val="0"/>
        <w:widowControl/>
        <w:kinsoku/>
        <w:wordWrap/>
        <w:overflowPunct/>
        <w:topLinePunct w:val="0"/>
        <w:autoSpaceDE/>
        <w:autoSpaceDN/>
        <w:bidi w:val="0"/>
        <w:spacing w:line="578" w:lineRule="exact"/>
        <w:ind w:firstLine="883" w:firstLineChars="200"/>
        <w:contextualSpacing/>
        <w:jc w:val="center"/>
        <w:textAlignment w:val="auto"/>
        <w:outlineLvl w:val="9"/>
        <w:rPr>
          <w:rFonts w:hint="eastAsia" w:ascii="方正小标宋_GBK" w:hAnsi="方正小标宋_GBK" w:eastAsia="方正小标宋_GBK" w:cs="方正小标宋_GBK"/>
          <w:b/>
          <w:bCs w:val="0"/>
          <w:sz w:val="44"/>
          <w:szCs w:val="44"/>
          <w:highlight w:val="none"/>
          <w:shd w:val="clear" w:color="auto" w:fill="FFFFFF"/>
          <w:lang w:val="en-US" w:eastAsia="zh-CN"/>
        </w:rPr>
      </w:pPr>
      <w:r>
        <w:rPr>
          <w:rFonts w:hint="eastAsia" w:ascii="方正小标宋_GBK" w:hAnsi="方正小标宋_GBK" w:eastAsia="方正小标宋_GBK" w:cs="方正小标宋_GBK"/>
          <w:b/>
          <w:bCs w:val="0"/>
          <w:sz w:val="44"/>
          <w:szCs w:val="44"/>
          <w:highlight w:val="none"/>
          <w:shd w:val="clear" w:color="auto" w:fill="FFFFFF"/>
          <w:lang w:val="en-US" w:eastAsia="zh-CN"/>
        </w:rPr>
        <w:t>项目绩效评价报告</w:t>
      </w:r>
    </w:p>
    <w:p>
      <w:pPr>
        <w:pStyle w:val="12"/>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ordWrap/>
        <w:overflowPunct/>
        <w:topLinePunct w:val="0"/>
        <w:bidi w:val="0"/>
        <w:spacing w:line="560" w:lineRule="exact"/>
        <w:ind w:firstLine="640" w:firstLineChars="200"/>
        <w:rPr>
          <w:rFonts w:hint="eastAsia" w:ascii="黑体" w:hAnsi="黑体" w:eastAsia="黑体" w:cs="黑体"/>
          <w:sz w:val="32"/>
          <w:szCs w:val="32"/>
          <w:lang w:val="zh-CN"/>
        </w:rPr>
      </w:pPr>
      <w:r>
        <w:rPr>
          <w:rFonts w:hint="eastAsia" w:ascii="黑体" w:hAnsi="黑体" w:eastAsia="黑体" w:cs="黑体"/>
          <w:sz w:val="32"/>
          <w:szCs w:val="32"/>
          <w:lang w:val="zh-CN"/>
        </w:rPr>
        <w:t>一、项目概况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Times New Roman" w:hAnsi="Times New Roman" w:eastAsia="楷体_GB2312" w:cs="Times New Roman"/>
          <w:b/>
          <w:color w:val="auto"/>
          <w:sz w:val="32"/>
          <w:szCs w:val="32"/>
          <w:highlight w:val="none"/>
          <w:u w:val="none"/>
          <w:lang w:val="zh-CN"/>
        </w:rPr>
      </w:pPr>
      <w:r>
        <w:rPr>
          <w:rFonts w:hint="eastAsia" w:ascii="Times New Roman" w:hAnsi="Times New Roman" w:eastAsia="楷体_GB2312" w:cs="Times New Roman"/>
          <w:b/>
          <w:color w:val="auto"/>
          <w:sz w:val="32"/>
          <w:szCs w:val="32"/>
          <w:highlight w:val="none"/>
          <w:u w:val="none"/>
          <w:lang w:val="zh-CN"/>
        </w:rPr>
        <w:t>（一）设立背景及基本情况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中华人民共和国传染病防治法》（2023年修订版）、《传染病信息报告管理规范》（2015年版）、《全国传染病信息报告管理工作技术指南》（2016年版）、《全国法定传染病报告质量和管理现状调查方案》（2017年版）、《四川省2024年传染病信息报告管理与疾控信息工作评估及全国传染病报告质量和管理现状调查省级复核方案》（阿坝州2024年传染病信息报告管理与全国传染病报告质量和管理现状调查州级复核方案）相关文件要求，我县2025年将迎接传染病信息报告管理与疾控信息工作评估，需地方财政保障我县传染病报告管理专项经费，且所保障经费不能低于全州平均水平，地方财政若未提供专项经费保障将不得分（分数为15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default"/>
          <w:lang w:val="en-US" w:eastAsia="zh-CN"/>
        </w:rPr>
      </w:pPr>
      <w:r>
        <w:rPr>
          <w:rFonts w:hint="eastAsia" w:ascii="楷体_GB2312" w:hAnsi="宋体" w:eastAsia="楷体_GB2312" w:cs="Times New Roman"/>
          <w:b/>
          <w:color w:val="auto"/>
          <w:sz w:val="32"/>
          <w:szCs w:val="32"/>
          <w:highlight w:val="none"/>
          <w:u w:val="none"/>
          <w:lang w:val="en-US" w:eastAsia="zh-CN"/>
        </w:rPr>
        <w:t>（二）</w:t>
      </w:r>
      <w:r>
        <w:rPr>
          <w:rFonts w:hint="default" w:ascii="楷体_GB2312" w:hAnsi="宋体" w:eastAsia="楷体_GB2312" w:cs="Times New Roman"/>
          <w:b/>
          <w:color w:val="auto"/>
          <w:sz w:val="32"/>
          <w:szCs w:val="32"/>
          <w:highlight w:val="none"/>
          <w:u w:val="none"/>
          <w:lang w:val="en-US" w:eastAsia="zh-CN"/>
        </w:rPr>
        <w:t>实施目的及支持方向</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全面建立有效的疾病控制体系，巩固地方病、寄生虫病、传染病防治成果，积极拓展重点疾病特别是慢性非传染性疾病防治策略，积极开展危害因素监测工作，有效应对突发公共卫生事件和处置工作，降低传染病发病率和危害因素对人民群众造成的影响，为全县人民群众身体健康和生命财产安全提供保障，为全县经济发展服务。</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default"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en-US"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资金下达依据：根据《黑水县卫生健康局关于解决2024年传染病报告管理专项经费的请示》（黑卫健〔</w:t>
      </w:r>
      <w:r>
        <w:rPr>
          <w:rFonts w:hint="default" w:ascii="仿宋_GB2312" w:hAnsi="仿宋_GB2312" w:eastAsia="仿宋_GB2312" w:cs="仿宋_GB2312"/>
          <w:sz w:val="32"/>
          <w:szCs w:val="32"/>
          <w:lang w:val="en-US" w:eastAsia="zh-CN"/>
        </w:rPr>
        <w:t>202</w:t>
      </w:r>
      <w:r>
        <w:rPr>
          <w:rFonts w:hint="eastAsia" w:ascii="仿宋_GB2312" w:hAnsi="仿宋_GB2312" w:eastAsia="仿宋_GB2312" w:cs="仿宋_GB2312"/>
          <w:sz w:val="32"/>
          <w:szCs w:val="32"/>
          <w:lang w:val="en-US" w:eastAsia="zh-CN"/>
        </w:rPr>
        <w:t>4〕97号）文件内容，经财政局、县政府相关领导批示，拨付2024年传染病报告管理专项经费1.5万元。</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sz w:val="32"/>
          <w:szCs w:val="32"/>
          <w:lang w:val="en-US" w:eastAsia="zh-CN"/>
        </w:rPr>
        <w:t>项目开展实施方案依据:2024年黑水县疾病预防控制中心部门预算项目申报表。（公共卫生项目传染病报告管理）</w:t>
      </w:r>
      <w:r>
        <w:rPr>
          <w:rFonts w:hint="eastAsia" w:ascii="仿宋_GB2312" w:hAnsi="仿宋_GB2312" w:cs="仿宋_GB2312"/>
          <w:color w:val="auto"/>
          <w:kern w:val="0"/>
          <w:sz w:val="32"/>
          <w:szCs w:val="32"/>
          <w:highlight w:val="none"/>
          <w:u w:val="none"/>
          <w:shd w:val="clear" w:color="auto" w:fill="FFFFFF"/>
          <w:lang w:val="en-US" w:eastAsia="zh-CN"/>
        </w:rPr>
        <w:t xml:space="preserve">     </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w:t>
      </w:r>
      <w:r>
        <w:rPr>
          <w:rFonts w:hint="eastAsia" w:ascii="楷体_GB2312" w:hAnsi="宋体" w:eastAsia="楷体_GB2312" w:cs="Times New Roman"/>
          <w:b/>
          <w:color w:val="auto"/>
          <w:sz w:val="32"/>
          <w:szCs w:val="32"/>
          <w:highlight w:val="none"/>
          <w:u w:val="none"/>
          <w:lang w:val="en-US" w:eastAsia="zh-CN"/>
        </w:rPr>
        <w:t>四</w:t>
      </w: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2024年度，我中心下达传染病报告管理项目资金共计1.5万元，截至2024年12月31日，完成资金列支资金共计1.5万元，资金执行率达100%。</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数量指标：对乡镇医疗机构督导覆盖率100%；对医疗机构培训次数≥1次；报告数据的实时监控和异常信息核实审核频次≥4次/天；传染病预警信号处理及时响应率100%。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质量指标：传染病网络直报质量综合率≥全省平均水平；疫情管理专职人员≥2人。</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可持续发展指标：突发公共卫生事件</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全州平均水平；</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传染病发病率</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全州平均水平</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Style w:val="11"/>
          <w:rFonts w:hint="eastAsia" w:ascii="仿宋_GB2312" w:hAnsi="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 xml:space="preserve">    服务对象满意度指标:服务对象满意度≥90%。</w:t>
      </w:r>
    </w:p>
    <w:p>
      <w:pPr>
        <w:keepNext w:val="0"/>
        <w:keepLines w:val="0"/>
        <w:pageBreakBefore w:val="0"/>
        <w:wordWrap/>
        <w:overflowPunct/>
        <w:topLinePunct w:val="0"/>
        <w:bidi w:val="0"/>
        <w:spacing w:line="560" w:lineRule="exact"/>
        <w:ind w:firstLine="640" w:firstLineChars="200"/>
        <w:rPr>
          <w:rFonts w:hint="eastAsia" w:ascii="黑体" w:hAnsi="黑体" w:eastAsia="黑体" w:cs="黑体"/>
          <w:sz w:val="32"/>
          <w:szCs w:val="32"/>
          <w:lang w:val="zh-CN" w:eastAsia="zh-CN"/>
        </w:rPr>
      </w:pPr>
      <w:r>
        <w:rPr>
          <w:rFonts w:hint="eastAsia" w:ascii="黑体" w:hAnsi="黑体" w:eastAsia="黑体" w:cs="黑体"/>
          <w:sz w:val="32"/>
          <w:szCs w:val="32"/>
          <w:lang w:val="zh-CN"/>
        </w:rPr>
        <w:t>二、</w:t>
      </w:r>
      <w:r>
        <w:rPr>
          <w:rFonts w:hint="eastAsia" w:ascii="黑体" w:hAnsi="黑体" w:eastAsia="黑体" w:cs="黑体"/>
          <w:sz w:val="32"/>
          <w:szCs w:val="32"/>
          <w:lang w:val="zh-CN" w:eastAsia="zh-CN"/>
        </w:rPr>
        <w:t>评价实施</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（一）评价目的</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通过项目绩效自评，确定项目开展效果，项目开展内容是否达到上级部门下达的指标</w:t>
      </w:r>
      <w:r>
        <w:rPr>
          <w:rFonts w:hint="eastAsia" w:ascii="楷体_GB2312" w:hAnsi="宋体" w:eastAsia="楷体_GB2312" w:cs="Times New Roman"/>
          <w:b/>
          <w:color w:val="auto"/>
          <w:sz w:val="32"/>
          <w:szCs w:val="32"/>
          <w:highlight w:val="none"/>
          <w:u w:val="none"/>
          <w:lang w:val="zh-CN" w:eastAsia="zh-CN"/>
        </w:rPr>
        <w:t>要求</w:t>
      </w:r>
      <w:r>
        <w:rPr>
          <w:rFonts w:hint="eastAsia" w:ascii="仿宋_GB2312" w:hAnsi="仿宋_GB2312" w:eastAsia="仿宋_GB2312" w:cs="仿宋_GB2312"/>
          <w:sz w:val="32"/>
          <w:szCs w:val="32"/>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w:t>
      </w:r>
      <w:r>
        <w:rPr>
          <w:rFonts w:hint="eastAsia" w:ascii="楷体_GB2312" w:hAnsi="宋体" w:eastAsia="楷体_GB2312" w:cs="Times New Roman"/>
          <w:b/>
          <w:color w:val="auto"/>
          <w:sz w:val="32"/>
          <w:szCs w:val="32"/>
          <w:highlight w:val="none"/>
          <w:u w:val="none"/>
          <w:lang w:val="en-US" w:eastAsia="zh-CN"/>
        </w:rPr>
        <w:t>二</w:t>
      </w:r>
      <w:r>
        <w:rPr>
          <w:rFonts w:hint="eastAsia" w:ascii="楷体_GB2312" w:hAnsi="宋体" w:eastAsia="楷体_GB2312" w:cs="Times New Roman"/>
          <w:b/>
          <w:color w:val="auto"/>
          <w:sz w:val="32"/>
          <w:szCs w:val="32"/>
          <w:highlight w:val="none"/>
          <w:u w:val="none"/>
          <w:lang w:val="zh-CN" w:eastAsia="zh-CN"/>
        </w:rPr>
        <w:t>）预设问题及评价重点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default" w:cs="Times New Roman"/>
          <w:szCs w:val="32"/>
          <w:lang w:val="en-US" w:eastAsia="zh-CN"/>
        </w:rPr>
      </w:pPr>
      <w:r>
        <w:rPr>
          <w:rFonts w:hint="eastAsia" w:ascii="仿宋_GB2312" w:hAnsi="仿宋_GB2312" w:eastAsia="仿宋_GB2312" w:cs="仿宋_GB2312"/>
          <w:sz w:val="32"/>
          <w:szCs w:val="32"/>
          <w:lang w:val="zh-CN" w:eastAsia="zh-CN"/>
        </w:rPr>
        <w:t>按照绩效评价指标体系，中心从通用指标、专用指标及个性指标对项目开展了绩效评价工作。该项目资金支出使用全过程符合传染病报告管理项目资金实施方案要求，全部用于传染病报告管理项目</w:t>
      </w:r>
      <w:r>
        <w:rPr>
          <w:rFonts w:hint="eastAsia" w:ascii="仿宋_GB2312" w:hAnsi="仿宋_GB2312" w:eastAsia="仿宋_GB2312" w:cs="仿宋_GB2312"/>
          <w:sz w:val="32"/>
          <w:szCs w:val="32"/>
          <w:lang w:val="en-US" w:eastAsia="zh-CN"/>
        </w:rPr>
        <w:t>，实施效果与预计效果相符</w:t>
      </w:r>
      <w:r>
        <w:rPr>
          <w:rFonts w:hint="eastAsia" w:cs="Times New Roman"/>
          <w:szCs w:val="32"/>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w:t>
      </w:r>
      <w:r>
        <w:rPr>
          <w:rFonts w:hint="eastAsia" w:ascii="楷体_GB2312" w:hAnsi="宋体" w:eastAsia="楷体_GB2312" w:cs="Times New Roman"/>
          <w:b/>
          <w:color w:val="auto"/>
          <w:sz w:val="32"/>
          <w:szCs w:val="32"/>
          <w:highlight w:val="none"/>
          <w:u w:val="none"/>
          <w:lang w:val="en-US" w:eastAsia="zh-CN"/>
        </w:rPr>
        <w:t>三</w:t>
      </w:r>
      <w:r>
        <w:rPr>
          <w:rFonts w:hint="eastAsia" w:ascii="楷体_GB2312" w:hAnsi="宋体" w:eastAsia="楷体_GB2312" w:cs="Times New Roman"/>
          <w:b/>
          <w:color w:val="auto"/>
          <w:sz w:val="32"/>
          <w:szCs w:val="32"/>
          <w:highlight w:val="none"/>
          <w:u w:val="none"/>
          <w:lang w:val="zh-CN" w:eastAsia="zh-CN"/>
        </w:rPr>
        <w:t>）评价选点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项目绩效自评主要通过抽取</w:t>
      </w:r>
      <w:r>
        <w:rPr>
          <w:rFonts w:hint="eastAsia" w:ascii="仿宋_GB2312" w:hAnsi="仿宋_GB2312" w:eastAsia="仿宋_GB2312" w:cs="仿宋_GB2312"/>
          <w:sz w:val="32"/>
          <w:szCs w:val="32"/>
          <w:lang w:val="en-US" w:eastAsia="zh-CN"/>
        </w:rPr>
        <w:t>2024年资金拨付凭证来进行自评工作，通过核查中心拨付凭证，确定了项目资金的确用于传染病报告管理项目。</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en-US" w:eastAsia="zh-CN"/>
        </w:rPr>
        <w:t>四</w:t>
      </w:r>
      <w:r>
        <w:rPr>
          <w:rFonts w:hint="eastAsia" w:ascii="楷体_GB2312" w:hAnsi="宋体" w:eastAsia="楷体_GB2312"/>
          <w:b/>
          <w:color w:val="auto"/>
          <w:sz w:val="32"/>
          <w:szCs w:val="32"/>
          <w:highlight w:val="none"/>
          <w:u w:val="none"/>
          <w:lang w:val="zh-CN"/>
        </w:rPr>
        <w:t>）评价方法</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由于该专项资金主要用于涉及民生保障，资金用途明确。我中心采用单位自评法、实地勘察法对项目进行自评工作。</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en-US" w:eastAsia="zh-CN"/>
        </w:rPr>
        <w:t>五</w:t>
      </w:r>
      <w:r>
        <w:rPr>
          <w:rFonts w:hint="eastAsia" w:ascii="楷体_GB2312" w:hAnsi="宋体" w:eastAsia="楷体_GB2312"/>
          <w:b/>
          <w:color w:val="auto"/>
          <w:sz w:val="32"/>
          <w:szCs w:val="32"/>
          <w:highlight w:val="none"/>
          <w:u w:val="none"/>
          <w:lang w:val="zh-CN"/>
        </w:rPr>
        <w:t>）评价组织</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评价组人员构成如下：</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组长：</w:t>
      </w:r>
      <w:r>
        <w:rPr>
          <w:rFonts w:hint="eastAsia" w:ascii="仿宋_GB2312" w:hAnsi="仿宋_GB2312" w:eastAsia="仿宋_GB2312" w:cs="仿宋_GB2312"/>
          <w:sz w:val="32"/>
          <w:szCs w:val="32"/>
          <w:lang w:val="zh-CN" w:eastAsia="zh-CN"/>
        </w:rPr>
        <w:t>郭成慧</w:t>
      </w:r>
      <w:r>
        <w:rPr>
          <w:rFonts w:hint="eastAsia" w:ascii="仿宋_GB2312" w:hAnsi="仿宋_GB2312" w:eastAsia="仿宋_GB2312" w:cs="仿宋_GB2312"/>
          <w:sz w:val="32"/>
          <w:szCs w:val="32"/>
          <w:lang w:val="en-US" w:eastAsia="zh-CN"/>
        </w:rPr>
        <w:t xml:space="preserve">  指导中心主任 负责全面评价工作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成员：桑基忠  负责财务相关评价工作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何仕有  负责2024年评价总体相关评价工作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1600" w:firstLineChars="500"/>
        <w:textAlignment w:val="auto"/>
        <w:outlineLvl w:val="9"/>
        <w:rPr>
          <w:rFonts w:hint="eastAsia" w:cs="Times New Roman"/>
          <w:szCs w:val="32"/>
          <w:lang w:val="en-US" w:eastAsia="zh-CN"/>
        </w:rPr>
      </w:pPr>
      <w:r>
        <w:rPr>
          <w:rFonts w:hint="eastAsia" w:ascii="仿宋_GB2312" w:hAnsi="仿宋_GB2312" w:eastAsia="仿宋_GB2312" w:cs="仿宋_GB2312"/>
          <w:sz w:val="32"/>
          <w:szCs w:val="32"/>
          <w:lang w:val="en-US" w:eastAsia="zh-CN"/>
        </w:rPr>
        <w:t>周  红  负责2024年执行机构绩效评价工作</w:t>
      </w:r>
      <w:r>
        <w:rPr>
          <w:rFonts w:hint="eastAsia" w:cs="Times New Roman"/>
          <w:szCs w:val="32"/>
          <w:lang w:val="en-US" w:eastAsia="zh-CN"/>
        </w:rPr>
        <w:t xml:space="preserve"> </w:t>
      </w:r>
    </w:p>
    <w:p>
      <w:pPr>
        <w:keepNext w:val="0"/>
        <w:keepLines w:val="0"/>
        <w:pageBreakBefore w:val="0"/>
        <w:wordWrap/>
        <w:overflowPunct/>
        <w:topLinePunct w:val="0"/>
        <w:bidi w:val="0"/>
        <w:spacing w:line="560" w:lineRule="exact"/>
        <w:ind w:firstLine="640" w:firstLineChars="200"/>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三、绩效分析</w:t>
      </w:r>
      <w:r>
        <w:rPr>
          <w:rFonts w:hint="eastAsia" w:ascii="黑体" w:hAnsi="黑体" w:eastAsia="黑体" w:cs="黑体"/>
          <w:sz w:val="32"/>
          <w:szCs w:val="32"/>
          <w:lang w:val="zh-CN" w:eastAsia="zh-CN"/>
        </w:rPr>
        <w:tab/>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中心</w:t>
      </w:r>
      <w:r>
        <w:rPr>
          <w:rFonts w:hint="default" w:ascii="仿宋_GB2312" w:hAnsi="仿宋_GB2312" w:eastAsia="仿宋_GB2312" w:cs="仿宋_GB2312"/>
          <w:sz w:val="32"/>
          <w:szCs w:val="32"/>
          <w:lang w:val="zh-CN" w:eastAsia="zh-CN"/>
        </w:rPr>
        <w:t>根据</w:t>
      </w:r>
      <w:r>
        <w:rPr>
          <w:rFonts w:hint="eastAsia" w:ascii="仿宋_GB2312" w:hAnsi="仿宋_GB2312" w:eastAsia="仿宋_GB2312" w:cs="仿宋_GB2312"/>
          <w:sz w:val="32"/>
          <w:szCs w:val="32"/>
          <w:lang w:val="zh-CN" w:eastAsia="zh-CN"/>
        </w:rPr>
        <w:t>项目</w:t>
      </w:r>
      <w:r>
        <w:rPr>
          <w:rFonts w:hint="default" w:ascii="仿宋_GB2312" w:hAnsi="仿宋_GB2312" w:eastAsia="仿宋_GB2312" w:cs="仿宋_GB2312"/>
          <w:sz w:val="32"/>
          <w:szCs w:val="32"/>
          <w:lang w:val="zh-CN" w:eastAsia="zh-CN"/>
        </w:rPr>
        <w:t>预算绩效评价指标体系“</w:t>
      </w:r>
      <w:r>
        <w:rPr>
          <w:rFonts w:hint="eastAsia" w:ascii="仿宋_GB2312" w:hAnsi="仿宋_GB2312" w:eastAsia="仿宋_GB2312" w:cs="仿宋_GB2312"/>
          <w:sz w:val="32"/>
          <w:szCs w:val="32"/>
          <w:lang w:val="zh-CN" w:eastAsia="zh-CN"/>
        </w:rPr>
        <w:t>通用指标</w:t>
      </w:r>
      <w:r>
        <w:rPr>
          <w:rFonts w:hint="default"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zh-CN" w:eastAsia="zh-CN"/>
        </w:rPr>
        <w:t>“专用指标”“个性指标”三个方面对该项资金进行了全方位自评工作，具体情况如下：</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楷体_GB2312" w:hAnsi="宋体" w:eastAsia="楷体_GB2312" w:cs="Times New Roman"/>
          <w:b/>
          <w:color w:val="auto"/>
          <w:sz w:val="32"/>
          <w:szCs w:val="32"/>
          <w:highlight w:val="none"/>
          <w:u w:val="none"/>
          <w:lang w:val="zh-CN"/>
        </w:rPr>
        <w:t>绩效分析。</w:t>
      </w:r>
      <w:r>
        <w:rPr>
          <w:rFonts w:hint="eastAsia" w:ascii="楷体_GB2312" w:hAnsi="宋体" w:eastAsia="楷体_GB2312" w:cs="Times New Roman"/>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en-US" w:eastAsia="zh-CN"/>
        </w:rPr>
        <w:t>53分</w:t>
      </w:r>
      <w:r>
        <w:rPr>
          <w:rFonts w:hint="eastAsia" w:ascii="楷体_GB2312" w:hAnsi="宋体" w:eastAsia="楷体_GB2312" w:cs="Times New Roman"/>
          <w:b/>
          <w:color w:val="auto"/>
          <w:sz w:val="32"/>
          <w:szCs w:val="32"/>
          <w:highlight w:val="none"/>
          <w:u w:val="none"/>
          <w:lang w:val="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eastAsia="zh-CN"/>
        </w:rPr>
        <w:t>项目决策</w:t>
      </w:r>
      <w:r>
        <w:rPr>
          <w:rFonts w:hint="eastAsia" w:ascii="仿宋_GB2312" w:hAnsi="仿宋_GB2312" w:eastAsia="仿宋_GB2312" w:cs="仿宋_GB2312"/>
          <w:sz w:val="32"/>
          <w:szCs w:val="32"/>
          <w:lang w:val="en-US" w:eastAsia="zh-CN"/>
        </w:rPr>
        <w:t>(18分）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决策程序（</w:t>
      </w:r>
      <w:r>
        <w:rPr>
          <w:rFonts w:hint="eastAsia" w:ascii="仿宋_GB2312" w:hAnsi="仿宋_GB2312" w:eastAsia="仿宋_GB2312" w:cs="仿宋_GB2312"/>
          <w:sz w:val="32"/>
          <w:szCs w:val="32"/>
          <w:lang w:val="en-US" w:eastAsia="zh-CN"/>
        </w:rPr>
        <w:t>6分）</w:t>
      </w:r>
      <w:r>
        <w:rPr>
          <w:rFonts w:hint="eastAsia" w:ascii="仿宋_GB2312" w:hAnsi="仿宋_GB2312" w:eastAsia="仿宋_GB2312" w:cs="仿宋_GB2312"/>
          <w:sz w:val="32"/>
          <w:szCs w:val="32"/>
          <w:lang w:val="zh-CN" w:eastAsia="zh-CN"/>
        </w:rPr>
        <w:t>：项目设立、调整延续等方面符合资金管理基本规范和决策程序要求。项目设立依据</w:t>
      </w:r>
      <w:r>
        <w:rPr>
          <w:rFonts w:hint="eastAsia" w:ascii="仿宋_GB2312" w:hAnsi="仿宋_GB2312" w:eastAsia="仿宋_GB2312" w:cs="仿宋_GB2312"/>
          <w:sz w:val="32"/>
          <w:szCs w:val="32"/>
          <w:lang w:val="en-US" w:eastAsia="zh-CN"/>
        </w:rPr>
        <w:t>《黑水县卫生健康局关于解决2024年传染病报告管理专项经费的请示》（黑卫健〔</w:t>
      </w:r>
      <w:r>
        <w:rPr>
          <w:rFonts w:hint="default" w:ascii="仿宋_GB2312" w:hAnsi="仿宋_GB2312" w:eastAsia="仿宋_GB2312" w:cs="仿宋_GB2312"/>
          <w:sz w:val="32"/>
          <w:szCs w:val="32"/>
          <w:lang w:val="en-US" w:eastAsia="zh-CN"/>
        </w:rPr>
        <w:t>202</w:t>
      </w:r>
      <w:r>
        <w:rPr>
          <w:rFonts w:hint="eastAsia" w:ascii="仿宋_GB2312" w:hAnsi="仿宋_GB2312" w:eastAsia="仿宋_GB2312" w:cs="仿宋_GB2312"/>
          <w:sz w:val="32"/>
          <w:szCs w:val="32"/>
          <w:lang w:val="en-US" w:eastAsia="zh-CN"/>
        </w:rPr>
        <w:t>4〕97号）。</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规划论证（</w:t>
      </w:r>
      <w:r>
        <w:rPr>
          <w:rFonts w:hint="eastAsia" w:ascii="仿宋_GB2312" w:hAnsi="仿宋_GB2312" w:eastAsia="仿宋_GB2312" w:cs="仿宋_GB2312"/>
          <w:sz w:val="32"/>
          <w:szCs w:val="32"/>
          <w:lang w:val="en-US" w:eastAsia="zh-CN"/>
        </w:rPr>
        <w:t>6分）</w:t>
      </w:r>
      <w:r>
        <w:rPr>
          <w:rFonts w:hint="eastAsia" w:ascii="仿宋_GB2312" w:hAnsi="仿宋_GB2312" w:eastAsia="仿宋_GB2312" w:cs="仿宋_GB2312"/>
          <w:sz w:val="32"/>
          <w:szCs w:val="32"/>
          <w:lang w:val="zh-CN" w:eastAsia="zh-CN"/>
        </w:rPr>
        <w:t>：项目规划符合</w:t>
      </w:r>
      <w:r>
        <w:rPr>
          <w:rFonts w:hint="eastAsia" w:ascii="仿宋_GB2312" w:hAnsi="仿宋_GB2312" w:eastAsia="仿宋_GB2312" w:cs="仿宋_GB2312"/>
          <w:sz w:val="32"/>
          <w:szCs w:val="32"/>
          <w:lang w:val="en-US" w:eastAsia="zh-CN"/>
        </w:rPr>
        <w:t>2024年黑水县疾病预防控制中心公共卫生项目传染病报告管理部门预算项目申报表</w:t>
      </w:r>
      <w:r>
        <w:rPr>
          <w:rFonts w:hint="eastAsia" w:ascii="仿宋_GB2312" w:hAnsi="仿宋_GB2312" w:eastAsia="仿宋_GB2312" w:cs="仿宋_GB2312"/>
          <w:sz w:val="32"/>
          <w:szCs w:val="32"/>
          <w:lang w:val="zh-CN" w:eastAsia="zh-CN"/>
        </w:rPr>
        <w:t>；项目充分评估了论证项目立项必要性、前瞻性、合理性和可行性；项目总体绩效目标设置合理性的偏离度≤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val="zh-CN" w:eastAsia="zh-CN"/>
        </w:rPr>
        <w:t>%；绩效目标科学合理、规范完整、量化细化、预算匹配。</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资金投向（</w:t>
      </w:r>
      <w:r>
        <w:rPr>
          <w:rFonts w:hint="eastAsia" w:ascii="仿宋_GB2312" w:hAnsi="仿宋_GB2312" w:eastAsia="仿宋_GB2312" w:cs="仿宋_GB2312"/>
          <w:sz w:val="32"/>
          <w:szCs w:val="32"/>
          <w:lang w:val="en-US" w:eastAsia="zh-CN"/>
        </w:rPr>
        <w:t>6分）：该项目</w:t>
      </w:r>
      <w:r>
        <w:rPr>
          <w:rFonts w:hint="eastAsia" w:ascii="仿宋_GB2312" w:hAnsi="仿宋_GB2312" w:eastAsia="仿宋_GB2312" w:cs="仿宋_GB2312"/>
          <w:sz w:val="32"/>
          <w:szCs w:val="32"/>
          <w:lang w:val="zh-CN" w:eastAsia="zh-CN"/>
        </w:rPr>
        <w:t>属于政府支持范围，且符合财政事权支出责任划分规定；资金投向与项目总体规划、相关行业事业发展相匹配；聚焦重大任务、重点领域、重点环节和重点项目，体现“集中</w:t>
      </w:r>
      <w:r>
        <w:rPr>
          <w:rFonts w:hint="eastAsia" w:ascii="仿宋_GB2312" w:hAnsi="仿宋_GB2312" w:cs="仿宋_GB2312"/>
          <w:sz w:val="32"/>
          <w:szCs w:val="32"/>
          <w:lang w:val="zh-CN" w:eastAsia="zh-CN"/>
        </w:rPr>
        <w:t>力量</w:t>
      </w:r>
      <w:bookmarkStart w:id="0" w:name="_GoBack"/>
      <w:bookmarkEnd w:id="0"/>
      <w:r>
        <w:rPr>
          <w:rFonts w:hint="eastAsia" w:ascii="仿宋_GB2312" w:hAnsi="仿宋_GB2312" w:eastAsia="仿宋_GB2312" w:cs="仿宋_GB2312"/>
          <w:sz w:val="32"/>
          <w:szCs w:val="32"/>
          <w:lang w:val="zh-CN" w:eastAsia="zh-CN"/>
        </w:rPr>
        <w:t>办大事”原则；未与其他同类项目或部门内部相关项目交叉重复。</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eastAsia="zh-CN"/>
        </w:rPr>
        <w:t>项目管理</w:t>
      </w:r>
      <w:r>
        <w:rPr>
          <w:rFonts w:hint="eastAsia" w:ascii="仿宋_GB2312" w:hAnsi="仿宋_GB2312" w:eastAsia="仿宋_GB2312" w:cs="仿宋_GB2312"/>
          <w:sz w:val="32"/>
          <w:szCs w:val="32"/>
          <w:lang w:val="en-US" w:eastAsia="zh-CN"/>
        </w:rPr>
        <w:t xml:space="preserve"> （17分）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制度办法（</w:t>
      </w:r>
      <w:r>
        <w:rPr>
          <w:rFonts w:hint="eastAsia" w:ascii="仿宋_GB2312" w:hAnsi="仿宋_GB2312" w:eastAsia="仿宋_GB2312" w:cs="仿宋_GB2312"/>
          <w:sz w:val="32"/>
          <w:szCs w:val="32"/>
          <w:lang w:val="en-US" w:eastAsia="zh-CN"/>
        </w:rPr>
        <w:t>1分</w:t>
      </w:r>
      <w:r>
        <w:rPr>
          <w:rFonts w:hint="eastAsia" w:ascii="仿宋_GB2312" w:hAnsi="仿宋_GB2312" w:eastAsia="仿宋_GB2312" w:cs="仿宋_GB2312"/>
          <w:sz w:val="32"/>
          <w:szCs w:val="32"/>
          <w:lang w:val="zh-CN" w:eastAsia="zh-CN"/>
        </w:rPr>
        <w:t>）：因上级项目资金使用方案已明确规定资金用于传染病报告管理项目，单位未制定资金使用计划，资金管理办法等管理制度体系仍需进一步完善。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分配管理（</w:t>
      </w:r>
      <w:r>
        <w:rPr>
          <w:rFonts w:hint="eastAsia" w:ascii="仿宋_GB2312" w:hAnsi="仿宋_GB2312" w:eastAsia="仿宋_GB2312" w:cs="仿宋_GB2312"/>
          <w:sz w:val="32"/>
          <w:szCs w:val="32"/>
          <w:lang w:val="en-US" w:eastAsia="zh-CN"/>
        </w:rPr>
        <w:t>10分</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eastAsia="zh-CN"/>
        </w:rPr>
        <w:t>）因素分配法：资金分配因素选取充分考虑相关行业事业发展实际和发展需求；资金分配因素的权重设置有效突出项目实施重点；资金区域分布结果公平合理。（</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eastAsia="zh-CN"/>
        </w:rPr>
        <w:t>）项目分配法：预算管理一体化有项目库；实行入库项目动态管理，按月、按季度开展动态监控；明确项目申报审核程序，按规定程序履行项目审批，项目申报符合州级要求。（</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eastAsia="zh-CN"/>
        </w:rPr>
        <w:t>）其他分配法：资金分配依据充分合理。资金分配严格按管理办法执行，决策程序符合管理要求，及时高效。</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绩效监管（</w:t>
      </w:r>
      <w:r>
        <w:rPr>
          <w:rFonts w:hint="eastAsia" w:ascii="仿宋_GB2312" w:hAnsi="仿宋_GB2312" w:eastAsia="仿宋_GB2312" w:cs="仿宋_GB2312"/>
          <w:sz w:val="32"/>
          <w:szCs w:val="32"/>
          <w:lang w:val="en-US" w:eastAsia="zh-CN"/>
        </w:rPr>
        <w:t>6分</w:t>
      </w:r>
      <w:r>
        <w:rPr>
          <w:rFonts w:hint="eastAsia" w:ascii="仿宋_GB2312" w:hAnsi="仿宋_GB2312" w:eastAsia="仿宋_GB2312" w:cs="仿宋_GB2312"/>
          <w:sz w:val="32"/>
          <w:szCs w:val="32"/>
          <w:lang w:val="zh-CN" w:eastAsia="zh-CN"/>
        </w:rPr>
        <w:t>）：项目按州、县要求全面完成绩效目标（含事前评估）、绩效评价、以前年度问题整改等预算绩效管理工作；省级部门对市县主管部门预算绩效管理要求到位，州、县资金分配和项目管理指导力度充足。</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3.项目实施（9分）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预算执行（</w:t>
      </w:r>
      <w:r>
        <w:rPr>
          <w:rFonts w:hint="eastAsia" w:ascii="仿宋_GB2312" w:hAnsi="仿宋_GB2312" w:eastAsia="仿宋_GB2312" w:cs="仿宋_GB2312"/>
          <w:sz w:val="32"/>
          <w:szCs w:val="32"/>
          <w:lang w:val="en-US" w:eastAsia="zh-CN"/>
        </w:rPr>
        <w:t>6分</w:t>
      </w:r>
      <w:r>
        <w:rPr>
          <w:rFonts w:hint="eastAsia" w:ascii="仿宋_GB2312" w:hAnsi="仿宋_GB2312" w:eastAsia="仿宋_GB2312" w:cs="仿宋_GB2312"/>
          <w:sz w:val="32"/>
          <w:szCs w:val="32"/>
          <w:lang w:val="zh-CN" w:eastAsia="zh-CN"/>
        </w:rPr>
        <w:t>）：该项指标得分=</w:t>
      </w:r>
      <w:r>
        <w:rPr>
          <w:rFonts w:hint="default" w:ascii="仿宋_GB2312" w:hAnsi="仿宋_GB2312" w:eastAsia="仿宋_GB2312" w:cs="仿宋_GB2312"/>
          <w:sz w:val="32"/>
          <w:szCs w:val="32"/>
          <w:lang w:val="en-US" w:eastAsia="zh-CN"/>
        </w:rPr>
        <w:t>财政资金拨付率×100%×2+</w:t>
      </w:r>
      <w:r>
        <w:rPr>
          <w:rFonts w:hint="eastAsia" w:ascii="仿宋_GB2312" w:hAnsi="仿宋_GB2312" w:eastAsia="仿宋_GB2312" w:cs="仿宋_GB2312"/>
          <w:sz w:val="32"/>
          <w:szCs w:val="32"/>
          <w:lang w:val="en-US" w:eastAsia="zh-CN"/>
        </w:rPr>
        <w:t>单位资金使用</w:t>
      </w:r>
      <w:r>
        <w:rPr>
          <w:rFonts w:hint="default" w:ascii="仿宋_GB2312" w:hAnsi="仿宋_GB2312" w:eastAsia="仿宋_GB2312" w:cs="仿宋_GB2312"/>
          <w:sz w:val="32"/>
          <w:szCs w:val="32"/>
          <w:lang w:val="en-US" w:eastAsia="zh-CN"/>
        </w:rPr>
        <w:t>率×100%×2+地方资金到位率×100%×2</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lang w:val="zh-CN" w:eastAsia="zh-CN"/>
        </w:rPr>
        <w:t>×100%×2+</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lang w:val="zh-CN" w:eastAsia="zh-CN"/>
        </w:rPr>
        <w:t>%×2+</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lang w:val="zh-CN" w:eastAsia="zh-CN"/>
        </w:rPr>
        <w:t>×100%×2</w:t>
      </w:r>
      <w:r>
        <w:rPr>
          <w:rFonts w:hint="eastAsia" w:ascii="仿宋_GB2312" w:hAnsi="仿宋_GB2312" w:eastAsia="仿宋_GB2312" w:cs="仿宋_GB2312"/>
          <w:sz w:val="32"/>
          <w:szCs w:val="32"/>
          <w:lang w:val="en-US" w:eastAsia="zh-CN"/>
        </w:rPr>
        <w:t>=6分。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资金使用（</w:t>
      </w:r>
      <w:r>
        <w:rPr>
          <w:rFonts w:hint="eastAsia" w:ascii="仿宋_GB2312" w:hAnsi="仿宋_GB2312" w:eastAsia="仿宋_GB2312" w:cs="仿宋_GB2312"/>
          <w:sz w:val="32"/>
          <w:szCs w:val="32"/>
          <w:lang w:val="en-US" w:eastAsia="zh-CN"/>
        </w:rPr>
        <w:t>3分</w:t>
      </w:r>
      <w:r>
        <w:rPr>
          <w:rFonts w:hint="eastAsia" w:ascii="仿宋_GB2312" w:hAnsi="仿宋_GB2312" w:eastAsia="仿宋_GB2312" w:cs="仿宋_GB2312"/>
          <w:sz w:val="32"/>
          <w:szCs w:val="32"/>
          <w:lang w:val="zh-CN"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4.项目结果 （9分）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目标完成（6分）：该项指标得分=实际完成目标任务量÷首次批复立项设定绩效目标任务总量×100%×6=100%÷100%×100%×6=6分。（选取医疗机构督导覆盖率作为评分依据）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完成时效（</w:t>
      </w:r>
      <w:r>
        <w:rPr>
          <w:rFonts w:hint="eastAsia" w:ascii="仿宋_GB2312" w:hAnsi="仿宋_GB2312" w:eastAsia="仿宋_GB2312" w:cs="仿宋_GB2312"/>
          <w:sz w:val="32"/>
          <w:szCs w:val="32"/>
          <w:lang w:val="en-US" w:eastAsia="zh-CN"/>
        </w:rPr>
        <w:t>3分</w:t>
      </w:r>
      <w:r>
        <w:rPr>
          <w:rFonts w:hint="eastAsia" w:ascii="仿宋_GB2312" w:hAnsi="仿宋_GB2312" w:eastAsia="仿宋_GB2312" w:cs="仿宋_GB2312"/>
          <w:sz w:val="32"/>
          <w:szCs w:val="32"/>
          <w:lang w:val="zh-CN" w:eastAsia="zh-CN"/>
        </w:rPr>
        <w:t>）：该项指标得分=（1-(</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lang w:val="zh-CN" w:eastAsia="zh-CN"/>
        </w:rPr>
        <w:t>）×100%×3</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val="zh-CN" w:eastAsia="zh-CN"/>
        </w:rPr>
        <w:t>指标以月数为单位。实际完成时间-计划完成时间等于0，得</w:t>
      </w:r>
      <w:r>
        <w:rPr>
          <w:rFonts w:hint="eastAsia" w:ascii="仿宋_GB2312" w:hAnsi="仿宋_GB2312" w:eastAsia="仿宋_GB2312" w:cs="仿宋_GB2312"/>
          <w:sz w:val="32"/>
          <w:szCs w:val="32"/>
          <w:lang w:val="en-US" w:eastAsia="zh-CN"/>
        </w:rPr>
        <w:t>3分。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eastAsia="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楷体_GB2312" w:hAnsi="宋体" w:eastAsia="楷体_GB2312" w:cs="Times New Roman"/>
          <w:b/>
          <w:color w:val="auto"/>
          <w:sz w:val="32"/>
          <w:szCs w:val="32"/>
          <w:highlight w:val="none"/>
          <w:u w:val="none"/>
          <w:lang w:val="zh-CN" w:eastAsia="zh-CN"/>
        </w:rPr>
        <w:t>绩效分析</w:t>
      </w:r>
      <w:r>
        <w:rPr>
          <w:rFonts w:hint="eastAsia" w:ascii="楷体_GB2312" w:hAnsi="宋体" w:eastAsia="楷体_GB2312" w:cs="Times New Roman"/>
          <w:b/>
          <w:color w:val="auto"/>
          <w:sz w:val="32"/>
          <w:szCs w:val="32"/>
          <w:highlight w:val="none"/>
          <w:u w:val="none"/>
          <w:lang w:val="zh-CN" w:eastAsia="zh-CN"/>
        </w:rPr>
        <w:t>（</w:t>
      </w:r>
      <w:r>
        <w:rPr>
          <w:rFonts w:hint="eastAsia" w:ascii="楷体_GB2312" w:hAnsi="宋体" w:eastAsia="楷体_GB2312" w:cs="Times New Roman"/>
          <w:b/>
          <w:color w:val="auto"/>
          <w:sz w:val="32"/>
          <w:szCs w:val="32"/>
          <w:highlight w:val="none"/>
          <w:u w:val="none"/>
          <w:lang w:val="en-US" w:eastAsia="zh-CN"/>
        </w:rPr>
        <w:t>29.75分</w:t>
      </w:r>
      <w:r>
        <w:rPr>
          <w:rFonts w:hint="eastAsia" w:ascii="楷体_GB2312" w:hAnsi="宋体" w:eastAsia="楷体_GB2312" w:cs="Times New Roman"/>
          <w:b/>
          <w:color w:val="auto"/>
          <w:sz w:val="32"/>
          <w:szCs w:val="32"/>
          <w:highlight w:val="none"/>
          <w:u w:val="none"/>
          <w:lang w:val="zh-CN"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民生保障：该项目主要涉及民生保障。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区域均衡性（10分）：该项目实施提升了我县处置突发公共卫生事件效率。</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对象精准性（10分）：该项指标得分=（100-0）÷100×100%×10=10分。抽样的支持对象总人数16个，不符合支持对象人数0个，抽样的支持对象总人数16个。（选取医疗机构督导覆盖率作为评分依据，共计16个医疗机构）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标准合理性（5分）：该项指标得分=（16-0）÷16×100%×5=5分。（选取医疗机构督导覆盖率作为评分依据，共计16个医疗机构）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群众满意度（4.75分）：该项指标得分=0.95×100%×5=4.75分。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default" w:cs="Times New Roman"/>
          <w:color w:val="auto"/>
          <w:szCs w:val="32"/>
          <w:lang w:val="en-US" w:eastAsia="zh-CN"/>
        </w:rPr>
      </w:pPr>
      <w:r>
        <w:rPr>
          <w:rFonts w:hint="eastAsia" w:ascii="楷体_GB2312" w:hAnsi="宋体" w:eastAsia="楷体_GB2312" w:cs="Times New Roman"/>
          <w:b/>
          <w:color w:val="auto"/>
          <w:sz w:val="32"/>
          <w:szCs w:val="32"/>
          <w:highlight w:val="none"/>
          <w:u w:val="none"/>
          <w:lang w:val="en-US" w:eastAsia="zh-CN"/>
        </w:rPr>
        <w:t>（三）个性指标</w:t>
      </w:r>
      <w:r>
        <w:rPr>
          <w:rFonts w:hint="default" w:ascii="楷体_GB2312" w:hAnsi="宋体" w:eastAsia="楷体_GB2312" w:cs="Times New Roman"/>
          <w:b/>
          <w:color w:val="auto"/>
          <w:sz w:val="32"/>
          <w:szCs w:val="32"/>
          <w:highlight w:val="none"/>
          <w:u w:val="none"/>
          <w:lang w:val="zh-CN" w:eastAsia="zh-CN"/>
        </w:rPr>
        <w:t>绩效分析</w:t>
      </w:r>
      <w:r>
        <w:rPr>
          <w:rFonts w:hint="eastAsia" w:ascii="楷体_GB2312" w:hAnsi="宋体" w:eastAsia="楷体_GB2312" w:cs="Times New Roman"/>
          <w:b/>
          <w:color w:val="auto"/>
          <w:sz w:val="32"/>
          <w:szCs w:val="32"/>
          <w:highlight w:val="none"/>
          <w:u w:val="none"/>
          <w:lang w:val="zh-CN" w:eastAsia="zh-CN"/>
        </w:rPr>
        <w:t>（</w:t>
      </w:r>
      <w:r>
        <w:rPr>
          <w:rFonts w:hint="eastAsia" w:ascii="楷体_GB2312" w:hAnsi="宋体" w:eastAsia="楷体_GB2312" w:cs="Times New Roman"/>
          <w:b/>
          <w:color w:val="auto"/>
          <w:sz w:val="32"/>
          <w:szCs w:val="32"/>
          <w:highlight w:val="none"/>
          <w:u w:val="none"/>
          <w:lang w:val="en-US" w:eastAsia="zh-CN"/>
        </w:rPr>
        <w:t>16分</w:t>
      </w:r>
      <w:r>
        <w:rPr>
          <w:rFonts w:hint="eastAsia" w:ascii="楷体_GB2312" w:hAnsi="宋体" w:eastAsia="楷体_GB2312" w:cs="Times New Roman"/>
          <w:b/>
          <w:color w:val="auto"/>
          <w:sz w:val="32"/>
          <w:szCs w:val="32"/>
          <w:highlight w:val="none"/>
          <w:u w:val="none"/>
          <w:lang w:val="zh-CN"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数量指标（8分）：医疗机构督导覆盖率作为评分依据，共计16个医疗机构，实际完成16个。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lang w:val="en-US" w:eastAsia="zh-CN"/>
        </w:rPr>
      </w:pPr>
      <w:r>
        <w:rPr>
          <w:rFonts w:hint="eastAsia" w:ascii="仿宋_GB2312" w:hAnsi="仿宋_GB2312" w:eastAsia="仿宋_GB2312" w:cs="仿宋_GB2312"/>
          <w:sz w:val="32"/>
          <w:szCs w:val="32"/>
          <w:lang w:val="en-US" w:eastAsia="zh-CN"/>
        </w:rPr>
        <w:t>服务对象满意度指标（8分）：服务对象满意度95%</w:t>
      </w:r>
      <w:r>
        <w:rPr>
          <w:rStyle w:val="11"/>
          <w:rFonts w:hint="eastAsia" w:ascii="仿宋_GB2312" w:hAnsi="仿宋_GB2312" w:cs="仿宋_GB2312"/>
          <w:color w:val="auto"/>
          <w:sz w:val="32"/>
          <w:szCs w:val="32"/>
          <w:lang w:val="en-US" w:eastAsia="zh-CN"/>
        </w:rPr>
        <w:t>。</w:t>
      </w:r>
    </w:p>
    <w:p>
      <w:pPr>
        <w:keepNext w:val="0"/>
        <w:keepLines w:val="0"/>
        <w:pageBreakBefore w:val="0"/>
        <w:wordWrap/>
        <w:overflowPunct/>
        <w:topLinePunct w:val="0"/>
        <w:bidi w:val="0"/>
        <w:spacing w:line="560" w:lineRule="exact"/>
        <w:ind w:firstLine="640" w:firstLineChars="200"/>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四、评价结论</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该项专项预算项目绩效自评总体结论优异，自评得分98.75分，项目实施范围符合州、县要求，并按照完成了项目资金拨付，截止2024年12月31日，资金使用率达100%。</w:t>
      </w:r>
    </w:p>
    <w:p>
      <w:pPr>
        <w:keepNext w:val="0"/>
        <w:keepLines w:val="0"/>
        <w:pageBreakBefore w:val="0"/>
        <w:wordWrap/>
        <w:overflowPunct/>
        <w:topLinePunct w:val="0"/>
        <w:bidi w:val="0"/>
        <w:spacing w:line="560" w:lineRule="exact"/>
        <w:ind w:firstLine="640" w:firstLineChars="200"/>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五、存在主要问题</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传染病报告管理经费作为州级考核依据，占我县传染病考核分值较大，但县级传染病报告经费并未纳入中心年初部门预算项目。</w:t>
      </w:r>
    </w:p>
    <w:p>
      <w:pPr>
        <w:keepNext w:val="0"/>
        <w:keepLines w:val="0"/>
        <w:pageBreakBefore w:val="0"/>
        <w:wordWrap/>
        <w:overflowPunct/>
        <w:topLinePunct w:val="0"/>
        <w:bidi w:val="0"/>
        <w:spacing w:line="560" w:lineRule="exact"/>
        <w:ind w:firstLine="640" w:firstLineChars="200"/>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六、改进建议</w:t>
      </w:r>
    </w:p>
    <w:p>
      <w:pPr>
        <w:tabs>
          <w:tab w:val="left" w:pos="1911"/>
        </w:tabs>
        <w:ind w:firstLine="640"/>
        <w:jc w:val="left"/>
        <w:rPr>
          <w:rFonts w:hint="eastAsia"/>
          <w:lang w:val="en-US" w:eastAsia="zh-CN"/>
        </w:rPr>
      </w:pPr>
      <w:r>
        <w:rPr>
          <w:rFonts w:hint="eastAsia" w:ascii="仿宋_GB2312" w:hAnsi="仿宋_GB2312" w:eastAsia="仿宋_GB2312" w:cs="仿宋_GB2312"/>
          <w:sz w:val="32"/>
          <w:szCs w:val="32"/>
          <w:lang w:val="en-US" w:eastAsia="zh-CN"/>
        </w:rPr>
        <w:t>应将传染病报告管理经费纳入年初部门预算，每年拨付该笔项目资金，保障我县传染病考核项目分值。</w:t>
      </w:r>
      <w:r>
        <w:rPr>
          <w:rFonts w:hint="eastAsia" w:ascii="仿宋_GB2312" w:hAnsi="仿宋_GB2312" w:cs="仿宋_GB2312"/>
          <w:b w:val="0"/>
          <w:bCs w:val="0"/>
          <w:color w:val="auto"/>
          <w:kern w:val="0"/>
          <w:position w:val="0"/>
          <w:sz w:val="32"/>
          <w:szCs w:val="32"/>
          <w:highlight w:val="none"/>
          <w:lang w:val="en-US" w:eastAsia="zh-CN" w:bidi="ar-SA"/>
        </w:rPr>
        <w:t xml:space="preserve">   </w:t>
      </w:r>
    </w:p>
    <w:p>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rPr>
          <w:rFonts w:hint="eastAsia"/>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黑水县疾病预防控制中心</w:t>
      </w: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default" w:ascii="Times New Roman" w:hAnsi="Times New Roman" w:eastAsia="宋体" w:cs="Times New Roman"/>
          <w:kern w:val="2"/>
          <w:sz w:val="21"/>
          <w:szCs w:val="24"/>
          <w:lang w:val="zh-CN" w:eastAsia="zh-CN" w:bidi="ar-SA"/>
        </w:rPr>
      </w:pPr>
      <w:r>
        <w:rPr>
          <w:rFonts w:hint="eastAsia" w:ascii="仿宋_GB2312" w:hAnsi="仿宋_GB2312" w:eastAsia="仿宋_GB2312" w:cs="仿宋_GB2312"/>
          <w:sz w:val="32"/>
          <w:szCs w:val="32"/>
          <w:lang w:val="en-US" w:eastAsia="zh-CN"/>
        </w:rPr>
        <w:t xml:space="preserve">                                2025年</w:t>
      </w:r>
      <w:r>
        <w:rPr>
          <w:rFonts w:hint="eastAsia" w:ascii="仿宋_GB2312" w:hAnsi="仿宋" w:eastAsia="仿宋_GB2312" w:cs="仿宋"/>
        </w:rPr>
        <w:drawing>
          <wp:anchor distT="0" distB="0" distL="114935" distR="114935" simplePos="0" relativeHeight="251660288" behindDoc="1" locked="0" layoutInCell="1" allowOverlap="1">
            <wp:simplePos x="0" y="0"/>
            <wp:positionH relativeFrom="column">
              <wp:posOffset>3784600</wp:posOffset>
            </wp:positionH>
            <wp:positionV relativeFrom="paragraph">
              <wp:posOffset>-736600</wp:posOffset>
            </wp:positionV>
            <wp:extent cx="1487805" cy="1458595"/>
            <wp:effectExtent l="202565" t="196850" r="205740" b="201295"/>
            <wp:wrapNone/>
            <wp:docPr id="3"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1"/>
                    <pic:cNvPicPr>
                      <a:picLocks noChangeAspect="1"/>
                    </pic:cNvPicPr>
                  </pic:nvPicPr>
                  <pic:blipFill>
                    <a:blip r:embed="rId6"/>
                    <a:stretch>
                      <a:fillRect/>
                    </a:stretch>
                  </pic:blipFill>
                  <pic:spPr>
                    <a:xfrm rot="17340000">
                      <a:off x="0" y="0"/>
                      <a:ext cx="1487805" cy="1458595"/>
                    </a:xfrm>
                    <a:prstGeom prst="rect">
                      <a:avLst/>
                    </a:prstGeom>
                  </pic:spPr>
                </pic:pic>
              </a:graphicData>
            </a:graphic>
          </wp:anchor>
        </w:drawing>
      </w:r>
      <w:r>
        <w:rPr>
          <w:rFonts w:hint="eastAsia" w:ascii="仿宋_GB2312" w:hAnsi="仿宋_GB2312" w:eastAsia="仿宋_GB2312" w:cs="仿宋_GB2312"/>
          <w:sz w:val="32"/>
          <w:szCs w:val="32"/>
          <w:lang w:val="en-US" w:eastAsia="zh-CN"/>
        </w:rPr>
        <w:t>5月20日</w:t>
      </w:r>
    </w:p>
    <w:p>
      <w:pPr>
        <w:pStyle w:val="2"/>
        <w:pageBreakBefore w:val="0"/>
        <w:wordWrap/>
        <w:overflowPunct/>
        <w:topLinePunct w:val="0"/>
        <w:bidi w:val="0"/>
        <w:spacing w:line="560" w:lineRule="exact"/>
        <w:rPr>
          <w:rFonts w:hint="default" w:ascii="Times New Roman" w:hAnsi="Times New Roman" w:eastAsia="宋体" w:cs="Times New Roman"/>
          <w:kern w:val="2"/>
          <w:sz w:val="21"/>
          <w:szCs w:val="24"/>
          <w:lang w:val="zh-CN" w:eastAsia="zh-CN" w:bidi="ar-SA"/>
        </w:rPr>
      </w:pPr>
    </w:p>
    <w:p>
      <w:pPr>
        <w:rPr>
          <w:rFonts w:hint="default"/>
          <w:lang w:val="zh-CN" w:eastAsia="zh-CN"/>
        </w:rPr>
      </w:pPr>
    </w:p>
    <w:p>
      <w:pPr>
        <w:pStyle w:val="5"/>
        <w:keepNext w:val="0"/>
        <w:keepLines w:val="0"/>
        <w:pageBreakBefore w:val="0"/>
        <w:pBdr>
          <w:top w:val="single" w:color="auto" w:sz="4" w:space="1"/>
          <w:bottom w:val="single" w:color="auto" w:sz="4" w:space="1"/>
          <w:between w:val="single" w:color="auto" w:sz="4" w:space="1"/>
        </w:pBdr>
        <w:kinsoku/>
        <w:wordWrap/>
        <w:overflowPunct/>
        <w:topLinePunct w:val="0"/>
        <w:bidi w:val="0"/>
        <w:snapToGrid/>
        <w:spacing w:line="560" w:lineRule="exact"/>
        <w:ind w:firstLine="140" w:firstLineChars="50"/>
        <w:jc w:val="left"/>
      </w:pPr>
      <w:r>
        <w:rPr>
          <w:rFonts w:hint="eastAsia" w:ascii="仿宋_GB2312" w:eastAsia="仿宋_GB2312"/>
          <w:sz w:val="28"/>
          <w:szCs w:val="28"/>
          <w:lang w:val="en-US" w:eastAsia="zh-CN"/>
        </w:rPr>
        <w:t>黑水县</w:t>
      </w:r>
      <w:r>
        <w:rPr>
          <w:rFonts w:hint="eastAsia" w:ascii="仿宋_GB2312" w:eastAsia="仿宋_GB2312"/>
          <w:sz w:val="28"/>
          <w:szCs w:val="28"/>
        </w:rPr>
        <w:t xml:space="preserve">疾病预防控制中心           </w:t>
      </w:r>
      <w:r>
        <w:rPr>
          <w:rFonts w:hint="eastAsia" w:ascii="仿宋_GB2312" w:eastAsia="仿宋_GB2312"/>
          <w:sz w:val="28"/>
          <w:szCs w:val="28"/>
          <w:lang w:val="en-US" w:eastAsia="zh-CN"/>
        </w:rPr>
        <w:t xml:space="preserve">      </w:t>
      </w:r>
      <w:r>
        <w:rPr>
          <w:rFonts w:hint="eastAsia" w:ascii="仿宋_GB2312" w:eastAsia="仿宋_GB2312"/>
          <w:sz w:val="28"/>
          <w:szCs w:val="28"/>
        </w:rPr>
        <w:t>202</w:t>
      </w:r>
      <w:r>
        <w:rPr>
          <w:rFonts w:hint="eastAsia" w:ascii="仿宋_GB2312" w:eastAsia="仿宋_GB2312"/>
          <w:sz w:val="28"/>
          <w:szCs w:val="28"/>
          <w:lang w:val="en-US" w:eastAsia="zh-CN"/>
        </w:rPr>
        <w:t>5</w:t>
      </w:r>
      <w:r>
        <w:rPr>
          <w:rFonts w:hint="eastAsia" w:ascii="仿宋_GB2312" w:eastAsia="仿宋_GB2312"/>
          <w:sz w:val="28"/>
          <w:szCs w:val="28"/>
        </w:rPr>
        <w:t>年</w:t>
      </w:r>
      <w:r>
        <w:rPr>
          <w:rFonts w:hint="eastAsia" w:ascii="仿宋_GB2312" w:eastAsia="仿宋_GB2312"/>
          <w:sz w:val="28"/>
          <w:szCs w:val="28"/>
          <w:lang w:val="en-US" w:eastAsia="zh-CN"/>
        </w:rPr>
        <w:t>5</w:t>
      </w:r>
      <w:r>
        <w:rPr>
          <w:rFonts w:hint="eastAsia" w:ascii="仿宋_GB2312" w:eastAsia="仿宋_GB2312"/>
          <w:sz w:val="28"/>
          <w:szCs w:val="28"/>
        </w:rPr>
        <w:t>月</w:t>
      </w:r>
      <w:r>
        <w:rPr>
          <w:rFonts w:hint="eastAsia" w:ascii="仿宋_GB2312" w:eastAsia="仿宋_GB2312"/>
          <w:sz w:val="28"/>
          <w:szCs w:val="28"/>
          <w:lang w:val="en-US" w:eastAsia="zh-CN"/>
        </w:rPr>
        <w:t>20</w:t>
      </w:r>
      <w:r>
        <w:rPr>
          <w:rFonts w:hint="eastAsia" w:ascii="仿宋_GB2312" w:eastAsia="仿宋_GB2312"/>
          <w:sz w:val="28"/>
          <w:szCs w:val="28"/>
        </w:rPr>
        <w:t>日印</w:t>
      </w:r>
    </w:p>
    <w:sectPr>
      <w:footerReference r:id="rId3" w:type="default"/>
      <w:pgSz w:w="11906" w:h="16838"/>
      <w:pgMar w:top="1440" w:right="1797" w:bottom="1440" w:left="179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
    <w:altName w:val="仿宋_GB2312"/>
    <w:panose1 w:val="00000000000000000000"/>
    <w:charset w:val="00"/>
    <w:family w:val="roman"/>
    <w:pitch w:val="default"/>
    <w:sig w:usb0="00000000" w:usb1="00000000" w:usb2="00000000" w:usb3="00000000" w:csb0="00000000" w:csb1="00000000"/>
  </w:font>
  <w:font w:name="新宋体">
    <w:altName w:val="方正书宋_GBK"/>
    <w:panose1 w:val="02010609030101010101"/>
    <w:charset w:val="86"/>
    <w:family w:val="modern"/>
    <w:pitch w:val="default"/>
    <w:sig w:usb0="00000000" w:usb1="00000000" w:usb2="00000006"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方正小标宋_GBK">
    <w:panose1 w:val="02000000000000000000"/>
    <w:charset w:val="86"/>
    <w:family w:val="auto"/>
    <w:pitch w:val="default"/>
    <w:sig w:usb0="A00002BF" w:usb1="38CF7CFA" w:usb2="00082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">
              <v:fill on="f" focussize="0,0"/>
              <v:stroke on="f" weight="0.5pt"/>
              <v:imagedata o:title=""/>
              <o:lock v:ext="edit" aspectratio="f"/>
              <v:textbox inset="0mm,0mm,0mm,0mm" style="mso-fit-shape-to-text:t;">
                <w:txbxContent>
                  <w:p>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963DFC"/>
    <w:rsid w:val="034675D0"/>
    <w:rsid w:val="034F46D6"/>
    <w:rsid w:val="03B44E81"/>
    <w:rsid w:val="07E43B00"/>
    <w:rsid w:val="07ED2710"/>
    <w:rsid w:val="08297BEC"/>
    <w:rsid w:val="087C1DEE"/>
    <w:rsid w:val="09300A08"/>
    <w:rsid w:val="0B1942E6"/>
    <w:rsid w:val="0EC07008"/>
    <w:rsid w:val="11252F1A"/>
    <w:rsid w:val="155F6B7B"/>
    <w:rsid w:val="15747FCD"/>
    <w:rsid w:val="16A15587"/>
    <w:rsid w:val="182061EA"/>
    <w:rsid w:val="18A46E1B"/>
    <w:rsid w:val="1BFD51C0"/>
    <w:rsid w:val="1CEC2B3E"/>
    <w:rsid w:val="1EC75611"/>
    <w:rsid w:val="1F274302"/>
    <w:rsid w:val="22947F00"/>
    <w:rsid w:val="248200CF"/>
    <w:rsid w:val="26593CB2"/>
    <w:rsid w:val="27395FB0"/>
    <w:rsid w:val="293143F3"/>
    <w:rsid w:val="29F213D4"/>
    <w:rsid w:val="2CA46F92"/>
    <w:rsid w:val="346476C5"/>
    <w:rsid w:val="355A28E3"/>
    <w:rsid w:val="390037A2"/>
    <w:rsid w:val="391C0F2D"/>
    <w:rsid w:val="3BB15807"/>
    <w:rsid w:val="3C2679C3"/>
    <w:rsid w:val="3CD3200E"/>
    <w:rsid w:val="3CDB07AE"/>
    <w:rsid w:val="3CE53400"/>
    <w:rsid w:val="3D05582A"/>
    <w:rsid w:val="3EFB5264"/>
    <w:rsid w:val="40B9762F"/>
    <w:rsid w:val="425F4755"/>
    <w:rsid w:val="43A84EBB"/>
    <w:rsid w:val="43E53CC0"/>
    <w:rsid w:val="444906F3"/>
    <w:rsid w:val="446217B4"/>
    <w:rsid w:val="452E7E3E"/>
    <w:rsid w:val="456C063B"/>
    <w:rsid w:val="45A60301"/>
    <w:rsid w:val="469D2F78"/>
    <w:rsid w:val="47AD2D46"/>
    <w:rsid w:val="4AD75C2B"/>
    <w:rsid w:val="4BA70393"/>
    <w:rsid w:val="4C013661"/>
    <w:rsid w:val="4C3D6D8F"/>
    <w:rsid w:val="4D2A6BE7"/>
    <w:rsid w:val="4DBC3CE3"/>
    <w:rsid w:val="4EBF6B30"/>
    <w:rsid w:val="53476745"/>
    <w:rsid w:val="56807F55"/>
    <w:rsid w:val="56B3106F"/>
    <w:rsid w:val="576E5F82"/>
    <w:rsid w:val="57FE314A"/>
    <w:rsid w:val="5A5C0D28"/>
    <w:rsid w:val="5EAE7678"/>
    <w:rsid w:val="613F394C"/>
    <w:rsid w:val="62A212A2"/>
    <w:rsid w:val="62C531E2"/>
    <w:rsid w:val="65F62466"/>
    <w:rsid w:val="678E0047"/>
    <w:rsid w:val="67F92998"/>
    <w:rsid w:val="6A570BC4"/>
    <w:rsid w:val="6C922387"/>
    <w:rsid w:val="6D875C64"/>
    <w:rsid w:val="6EB14BAD"/>
    <w:rsid w:val="70BD7BEF"/>
    <w:rsid w:val="70CF4A71"/>
    <w:rsid w:val="71423E4B"/>
    <w:rsid w:val="72604CD6"/>
    <w:rsid w:val="72CB65F3"/>
    <w:rsid w:val="73922C6D"/>
    <w:rsid w:val="76E97048"/>
    <w:rsid w:val="78AC6D1B"/>
    <w:rsid w:val="7AEA338E"/>
    <w:rsid w:val="7B6A2721"/>
    <w:rsid w:val="7BF11FBA"/>
    <w:rsid w:val="7C7A4BE6"/>
    <w:rsid w:val="7CD12A58"/>
    <w:rsid w:val="7DF0612A"/>
    <w:rsid w:val="7F930498"/>
    <w:rsid w:val="FFFD56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3">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4">
    <w:name w:val="Body Text Indent"/>
    <w:basedOn w:val="1"/>
    <w:qFormat/>
    <w:uiPriority w:val="0"/>
    <w:pPr>
      <w:spacing w:after="120"/>
      <w:ind w:leftChars="200"/>
    </w:pPr>
    <w:rPr>
      <w:rFonts w:ascii="仿宋_GB2312"/>
      <w:szCs w:val="32"/>
    </w:rPr>
  </w:style>
  <w:style w:type="paragraph" w:styleId="5">
    <w:name w:val="Plain Text"/>
    <w:basedOn w:val="1"/>
    <w:qFormat/>
    <w:uiPriority w:val="0"/>
    <w:pPr>
      <w:widowControl w:val="0"/>
      <w:jc w:val="both"/>
    </w:pPr>
    <w:rPr>
      <w:rFonts w:hAnsi="Courier New" w:cs="Courier New"/>
      <w:kern w:val="2"/>
      <w:sz w:val="21"/>
      <w:szCs w:val="21"/>
    </w:rPr>
  </w:style>
  <w:style w:type="paragraph" w:styleId="6">
    <w:name w:val="footer"/>
    <w:basedOn w:val="1"/>
    <w:unhideWhenUsed/>
    <w:qFormat/>
    <w:uiPriority w:val="99"/>
    <w:pPr>
      <w:tabs>
        <w:tab w:val="center" w:pos="4153"/>
        <w:tab w:val="right" w:pos="8306"/>
      </w:tabs>
      <w:snapToGrid w:val="0"/>
      <w:jc w:val="left"/>
    </w:pPr>
    <w:rPr>
      <w:sz w:val="18"/>
      <w:szCs w:val="18"/>
      <w:lang w:val="zh-CN" w:eastAsia="zh-CN"/>
    </w:rPr>
  </w:style>
  <w:style w:type="paragraph" w:styleId="7">
    <w:name w:val="table of figures"/>
    <w:basedOn w:val="1"/>
    <w:next w:val="1"/>
    <w:unhideWhenUsed/>
    <w:qFormat/>
    <w:uiPriority w:val="99"/>
    <w:pPr>
      <w:ind w:left="200" w:leftChars="200" w:hanging="200" w:hangingChars="200"/>
    </w:pPr>
  </w:style>
  <w:style w:type="paragraph" w:styleId="8">
    <w:name w:val="Body Text First Indent 2"/>
    <w:basedOn w:val="4"/>
    <w:unhideWhenUsed/>
    <w:qFormat/>
    <w:uiPriority w:val="99"/>
    <w:pPr>
      <w:ind w:firstLine="420" w:firstLine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4553</Words>
  <Characters>4879</Characters>
  <Lines>0</Lines>
  <Paragraphs>0</Paragraphs>
  <TotalTime>0</TotalTime>
  <ScaleCrop>false</ScaleCrop>
  <LinksUpToDate>false</LinksUpToDate>
  <CharactersWithSpaces>4983</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2025-04-23T15:11:00Z</dcterms:created>
  <dc:creator>lenovo</dc:creator>
  <cp:lastModifiedBy>user</cp:lastModifiedBy>
  <dcterms:modified xsi:type="dcterms:W3CDTF">2025-11-13T10:15:15Z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KSOTemplateDocerSaveRecord">
    <vt:lpwstr>eyJoZGlkIjoiNGZkZDlkNjg5NWVkNWU2ZDNmZGZjYjczNjZmMTIwMmYiLCJ1c2VySWQiOiIzMjY5NjEzMjEifQ==</vt:lpwstr>
  </property>
  <property fmtid="{D5CDD505-2E9C-101B-9397-08002B2CF9AE}" pid="4" name="ICV">
    <vt:lpwstr>83144E03D1164F4F95D2E4BA1D802347_13</vt:lpwstr>
  </property>
</Properties>
</file>