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2"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华文中宋"/>
          <w:sz w:val="32"/>
          <w:lang w:val="en-US" w:eastAsia="zh-CN"/>
        </w:rPr>
        <w:t>30</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kinsoku/>
        <w:wordWrap/>
        <w:overflowPunct/>
        <w:topLinePunct w:val="0"/>
        <w:autoSpaceDE/>
        <w:autoSpaceDN/>
        <w:bidi w:val="0"/>
        <w:spacing w:line="578"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r>
        <w:rPr>
          <w:rFonts w:hint="eastAsia" w:ascii="方正小标宋_GBK" w:hAnsi="方正小标宋_GBK" w:eastAsia="方正小标宋_GBK" w:cs="方正小标宋_GBK"/>
          <w:b/>
          <w:bCs w:val="0"/>
          <w:sz w:val="44"/>
          <w:szCs w:val="44"/>
          <w:highlight w:val="none"/>
          <w:shd w:val="clear" w:color="auto" w:fill="FFFFFF"/>
          <w:lang w:val="en-US" w:eastAsia="zh-CN"/>
        </w:rPr>
        <w:t>黑水县疾病预防控制中心</w:t>
      </w:r>
    </w:p>
    <w:p>
      <w:pPr>
        <w:keepNext w:val="0"/>
        <w:keepLines w:val="0"/>
        <w:pageBreakBefore w:val="0"/>
        <w:widowControl/>
        <w:kinsoku/>
        <w:wordWrap/>
        <w:overflowPunct/>
        <w:topLinePunct w:val="0"/>
        <w:autoSpaceDE/>
        <w:autoSpaceDN/>
        <w:bidi w:val="0"/>
        <w:spacing w:line="578"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r>
        <w:rPr>
          <w:rFonts w:hint="eastAsia" w:ascii="方正小标宋_GBK" w:hAnsi="方正小标宋_GBK" w:eastAsia="方正小标宋_GBK" w:cs="方正小标宋_GBK"/>
          <w:b/>
          <w:bCs w:val="0"/>
          <w:sz w:val="44"/>
          <w:szCs w:val="44"/>
          <w:highlight w:val="none"/>
          <w:shd w:val="clear" w:color="auto" w:fill="FFFFFF"/>
          <w:lang w:val="en-US" w:eastAsia="zh-CN"/>
        </w:rPr>
        <w:t>重大传染病防治专项预算项目绩效</w:t>
      </w:r>
    </w:p>
    <w:p>
      <w:pPr>
        <w:keepNext w:val="0"/>
        <w:keepLines w:val="0"/>
        <w:pageBreakBefore w:val="0"/>
        <w:widowControl/>
        <w:kinsoku/>
        <w:wordWrap/>
        <w:overflowPunct/>
        <w:topLinePunct w:val="0"/>
        <w:autoSpaceDE/>
        <w:autoSpaceDN/>
        <w:bidi w:val="0"/>
        <w:spacing w:line="578"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r>
        <w:rPr>
          <w:rFonts w:hint="eastAsia" w:ascii="方正小标宋_GBK" w:hAnsi="方正小标宋_GBK" w:eastAsia="方正小标宋_GBK" w:cs="方正小标宋_GBK"/>
          <w:b/>
          <w:bCs w:val="0"/>
          <w:sz w:val="44"/>
          <w:szCs w:val="44"/>
          <w:highlight w:val="none"/>
          <w:shd w:val="clear" w:color="auto" w:fill="FFFFFF"/>
          <w:lang w:val="en-US" w:eastAsia="zh-CN"/>
        </w:rPr>
        <w:t>评价报告</w:t>
      </w:r>
    </w:p>
    <w:p>
      <w:pPr>
        <w:pStyle w:val="1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rPr>
      </w:pPr>
      <w:r>
        <w:rPr>
          <w:rFonts w:hint="eastAsia" w:ascii="黑体" w:hAnsi="黑体" w:eastAsia="黑体" w:cs="黑体"/>
          <w:sz w:val="32"/>
          <w:szCs w:val="32"/>
          <w:lang w:val="zh-CN"/>
        </w:rPr>
        <w:t>一、项目概况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国家有关艾滋病等重大传染病和地方病防治相关法律法规，推动防治工作深入开展，2024年度中央对我中心转移支付重大传染病防控补助资金共计244.21万元，其中，阿州财社（2024）35号下达资金184.56万元；阿州财社（2024）98号下达资金59.65万元。财返阿州财社（2023）59号132.02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施目的：为0-6岁适龄儿童进行常规接种，开展重点传染病及危险因素监测。健全完善慢性病及其危险因素监测网络，以慢性病综合防控示范区和全民健康生活方式行动为抓手，加强慢性病防控能力建设。进一步完善“政府组织领导、部门各负其责、全社会共同参与”的防治机制，全面落实各项艾滋病和性精神障碍患者管理。病预防控制措施，提高发生率，扩大治疗覆盖面，提升治疗成功率，降低死亡率，降低新发感染，提高感染者和病人的生活质量。及时发现和规范治疗管理结核病患者，持续降低结核病的感染、发病与死亡，确保结核病疫情稳步下降，提高群众健康水平。全面开展包虫病综合防治，提升我县包虫病防治</w:t>
      </w:r>
      <w:r>
        <w:rPr>
          <w:rFonts w:hint="default"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高危人群、现症病人、疫点监测，强化病例发现，进一步落实麻风病控制策略和</w:t>
      </w:r>
      <w:r>
        <w:rPr>
          <w:rFonts w:hint="default" w:ascii="仿宋_GB2312" w:hAnsi="仿宋_GB2312" w:cs="仿宋_GB2312"/>
          <w:sz w:val="32"/>
          <w:szCs w:val="32"/>
          <w:lang w:eastAsia="zh-CN"/>
        </w:rPr>
        <w:t>措施</w:t>
      </w:r>
      <w:r>
        <w:rPr>
          <w:rFonts w:hint="eastAsia" w:ascii="仿宋_GB2312" w:hAnsi="仿宋_GB2312" w:eastAsia="仿宋_GB2312" w:cs="仿宋_GB2312"/>
          <w:sz w:val="32"/>
          <w:szCs w:val="32"/>
          <w:lang w:val="en-US" w:eastAsia="zh-CN"/>
        </w:rPr>
        <w:t>。施，消除传染源，减少麻风病危害。强化疟疾监测，及时报告并规范处置疟疾病例:开展食源性寄生虫病监测和防治，有效控制流行程度;开展黑热病监测，减少黑热病新发病例发生。</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下达资金情况：艾滋病防治经费90.63万元、结核病防治经费70.19万元、包虫病防治经费154.47万元、免疫规划经费27万元、慢病管理经费4.51万元、重点传染病及健康危害因素监测经费29.43万元。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金下达依据：《关于下达2023年重大传染病防控中央补助资金的通知》阿州财社（2023）59号财返资金132.02万元；《关于提前下达2024年重大传染病防控中央补助资金的通知》(阿州财社〔2024〕35号）下达资金184.56万元；《关于下达2024年中央财政重大公共卫生服务补助资金的通知》（阿州财社〔2024〕98号）下达资金59.65万元。</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en-US" w:eastAsia="zh-CN"/>
        </w:rPr>
        <w:t xml:space="preserve">项目开展实施方案依据:《四川省卫生健康委员会关于印发四川省 2023 </w:t>
      </w:r>
      <w:r>
        <w:rPr>
          <w:rFonts w:hint="default" w:ascii="仿宋_GB2312" w:hAnsi="仿宋_GB2312" w:eastAsia="仿宋_GB2312" w:cs="仿宋_GB2312"/>
          <w:sz w:val="32"/>
          <w:szCs w:val="32"/>
          <w:lang w:val="en-US" w:eastAsia="zh-CN"/>
        </w:rPr>
        <w:t>年中央财政补助艾滋病等重大传染病和地方病防治项目第</w:t>
      </w: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批资金实施方案的通知</w:t>
      </w:r>
      <w:r>
        <w:rPr>
          <w:rFonts w:hint="eastAsia" w:ascii="仿宋_GB2312" w:hAnsi="仿宋_GB2312" w:eastAsia="仿宋_GB2312" w:cs="仿宋_GB2312"/>
          <w:sz w:val="32"/>
          <w:szCs w:val="32"/>
          <w:lang w:val="en-US" w:eastAsia="zh-CN"/>
        </w:rPr>
        <w:t>》（川卫重传函〔2023〕</w:t>
      </w:r>
      <w:r>
        <w:rPr>
          <w:rFonts w:hint="default" w:ascii="仿宋_GB2312" w:hAnsi="仿宋_GB2312" w:eastAsia="仿宋_GB2312" w:cs="仿宋_GB2312"/>
          <w:sz w:val="32"/>
          <w:szCs w:val="32"/>
          <w:lang w:val="en-US" w:eastAsia="zh-CN"/>
        </w:rPr>
        <w:t xml:space="preserve">4 </w:t>
      </w:r>
      <w:r>
        <w:rPr>
          <w:rFonts w:hint="eastAsia" w:ascii="仿宋_GB2312" w:hAnsi="仿宋_GB2312" w:eastAsia="仿宋_GB2312" w:cs="仿宋_GB2312"/>
          <w:sz w:val="32"/>
          <w:szCs w:val="32"/>
          <w:lang w:val="en-US" w:eastAsia="zh-CN"/>
        </w:rPr>
        <w:t xml:space="preserve">号）、《四川省卫生健康委员会关于印发四川省 2023 </w:t>
      </w:r>
      <w:r>
        <w:rPr>
          <w:rFonts w:hint="default" w:ascii="仿宋_GB2312" w:hAnsi="仿宋_GB2312" w:eastAsia="仿宋_GB2312" w:cs="仿宋_GB2312"/>
          <w:sz w:val="32"/>
          <w:szCs w:val="32"/>
          <w:lang w:val="en-US" w:eastAsia="zh-CN"/>
        </w:rPr>
        <w:t>年中央财政补助艾滋病等重大传染病和地方病防治项目第二批资金实施方案的通知</w:t>
      </w:r>
      <w:r>
        <w:rPr>
          <w:rFonts w:hint="eastAsia" w:ascii="仿宋_GB2312" w:hAnsi="仿宋_GB2312" w:eastAsia="仿宋_GB2312" w:cs="仿宋_GB2312"/>
          <w:sz w:val="32"/>
          <w:szCs w:val="32"/>
          <w:lang w:val="en-US" w:eastAsia="zh-CN"/>
        </w:rPr>
        <w:t>》（川卫重传函〔2023〕</w:t>
      </w:r>
      <w:r>
        <w:rPr>
          <w:rFonts w:hint="default" w:ascii="仿宋_GB2312" w:hAnsi="仿宋_GB2312" w:eastAsia="仿宋_GB2312" w:cs="仿宋_GB2312"/>
          <w:sz w:val="32"/>
          <w:szCs w:val="32"/>
          <w:lang w:val="en-US" w:eastAsia="zh-CN"/>
        </w:rPr>
        <w:t xml:space="preserve">264 </w:t>
      </w:r>
      <w:r>
        <w:rPr>
          <w:rFonts w:hint="eastAsia" w:ascii="仿宋_GB2312" w:hAnsi="仿宋_GB2312" w:eastAsia="仿宋_GB2312" w:cs="仿宋_GB2312"/>
          <w:sz w:val="32"/>
          <w:szCs w:val="32"/>
          <w:lang w:val="en-US" w:eastAsia="zh-CN"/>
        </w:rPr>
        <w:t xml:space="preserve">号）；《阿坝州卫生健康委员会关于印发阿坝州2024年中央财政补助艾滋病等重大传染病和地方病防治项目第一批资金实施方案的通知》（阿州卫健发〔2024〕25号）；《阿坝州卫生健康委员会关于印发阿坝州2024年中央财政补助艾滋病等重大传染病和地方病防治项目第二批资金实施方案的通知》阿州卫健发〔2024〕38号。           </w:t>
      </w:r>
      <w:r>
        <w:rPr>
          <w:rFonts w:hint="eastAsia" w:ascii="仿宋_GB2312" w:hAnsi="仿宋_GB2312" w:cs="仿宋_GB2312"/>
          <w:color w:val="auto"/>
          <w:kern w:val="0"/>
          <w:sz w:val="32"/>
          <w:szCs w:val="32"/>
          <w:highlight w:val="none"/>
          <w:u w:val="none"/>
          <w:shd w:val="clear" w:color="auto" w:fill="FFFFFF"/>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四</w:t>
      </w: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2024年度，我中心下达重大传染病防治资金共计376.23万元，截至2024年12月31日，完成资金列支共计221.17万元，资金执行率达58.79%。</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艾滋病人群扩大监测人次数≥17800人次；艾滋病血液样本核酸检测率≥90%；肺结核患者病原学阳性率≥60%；肺结核患者和疑似肺结核患者整体到位率≥95%；病原学阳性肺结核患者耐药筛查率≥90%；肺结核患者成功治疗率≥90%；学生入学结核病检查比例=100%；包虫病B超筛查任务完成率≥85%；包虫病血清学辅助诊断=20人次；包虫病监测点任务完成率≥90%；包虫病家犬犬粪监测任务完成率≥85%；适龄儿童国家免疫规划免疫接种率≥90%；适龄儿童建证率=100%；适龄儿童建档率≥90%；入托入学查验补种率≥90%；乙肝疫苗首针及时接种率≥70%；城乡饮用水水质监测任务数104个；全县内学生近视及健康体检监测任务数1040人；黑热病犬只血液样本检测25只。</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质量指标：艾滋病因补充完成治疗管理人数5人；艾滋病规范化随访干预比例≥90%；适龄儿童纳入信息系统管理率≥90%；疫苗针对传染病监测完成率100%；加强疫苗信息化管理，实现疫苗扫码出入库、扫码接种率100%；疑似预防接种异常反应规范处置率≥90%；城乡饮用水水质监测点覆盖率≥100%；麻风病病人随访及管理18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时效指标：项目周期≤1年。</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效益指标：持续提高重大传染病防治能力。</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满意度指标：预防接种儿童家长满意度≥90%。</w:t>
      </w: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rPr>
        <w:t>二、</w:t>
      </w:r>
      <w:r>
        <w:rPr>
          <w:rFonts w:hint="eastAsia" w:ascii="黑体" w:hAnsi="黑体" w:eastAsia="黑体" w:cs="黑体"/>
          <w:sz w:val="32"/>
          <w:szCs w:val="32"/>
          <w:lang w:val="zh-CN" w:eastAsia="zh-CN"/>
        </w:rPr>
        <w:t>评价实施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eastAsia="zh-CN"/>
        </w:rPr>
        <w:t>（一）评价目的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通过项目绩效自评，确定项目开展效果，项目开展内容是否达到上级部门下达的指标要求。</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二</w:t>
      </w:r>
      <w:r>
        <w:rPr>
          <w:rFonts w:hint="eastAsia" w:ascii="楷体_GB2312" w:hAnsi="宋体" w:eastAsia="楷体_GB2312" w:cs="Times New Roman"/>
          <w:b/>
          <w:color w:val="auto"/>
          <w:sz w:val="32"/>
          <w:szCs w:val="32"/>
          <w:highlight w:val="none"/>
          <w:u w:val="none"/>
          <w:lang w:val="zh-CN" w:eastAsia="zh-CN"/>
        </w:rPr>
        <w:t>）预设问题及评价重点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按照绩效评价指标体系，中心从通用指标、专用指标及个性指标对项目开展了绩效评价工作。该项目资金支出使用全过程符合重大传染病项目资金实施方案要求，全部用于重大传染病项目</w:t>
      </w:r>
      <w:r>
        <w:rPr>
          <w:rFonts w:hint="eastAsia" w:ascii="仿宋_GB2312" w:hAnsi="仿宋_GB2312" w:eastAsia="仿宋_GB2312" w:cs="仿宋_GB2312"/>
          <w:sz w:val="32"/>
          <w:szCs w:val="32"/>
          <w:lang w:val="en-US" w:eastAsia="zh-CN"/>
        </w:rPr>
        <w:t>，实施效果与预计效果相符。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三</w:t>
      </w:r>
      <w:r>
        <w:rPr>
          <w:rFonts w:hint="eastAsia" w:ascii="楷体_GB2312" w:hAnsi="宋体" w:eastAsia="楷体_GB2312" w:cs="Times New Roman"/>
          <w:b/>
          <w:color w:val="auto"/>
          <w:sz w:val="32"/>
          <w:szCs w:val="32"/>
          <w:highlight w:val="none"/>
          <w:u w:val="none"/>
          <w:lang w:val="zh-CN" w:eastAsia="zh-CN"/>
        </w:rPr>
        <w:t>）评价选点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2024年资金拨付凭证来进行自评工作，通过核查中心拨付凭证，确定了项目资金的确用于拨付重大传染病项目。</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eastAsia="仿宋_GB2312" w:cs="Times New Roman"/>
          <w:szCs w:val="32"/>
          <w:lang w:val="en-US" w:eastAsia="zh-CN"/>
        </w:rPr>
      </w:pPr>
      <w:r>
        <w:rPr>
          <w:rFonts w:hint="eastAsia" w:ascii="仿宋_GB2312" w:hAnsi="仿宋_GB2312" w:eastAsia="仿宋_GB2312" w:cs="仿宋_GB2312"/>
          <w:sz w:val="32"/>
          <w:szCs w:val="32"/>
          <w:lang w:val="en-US" w:eastAsia="zh-CN"/>
        </w:rPr>
        <w:t>由于该专项资金主要用于涉及民生保障，资金用途明确。我中心采用单位自评法、实地勘察法对项目进行自评工作</w:t>
      </w:r>
      <w:r>
        <w:rPr>
          <w:rFonts w:hint="eastAsia" w:cs="Times New Roman"/>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五</w:t>
      </w: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评价组人员构成如下：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组长：郭成慧  指导中心主任 负责全面评价工作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成员：桑基忠  负责财务相关评价工作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罗琼英 何仕有 若甲 唐志 余世美 负责2024年评价总体相关评价工作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1600" w:firstLineChars="5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沈品初玛 冬梅  泽尼 负责2024年执行机构绩效评价工作 </w:t>
      </w:r>
    </w:p>
    <w:p>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ascii="仿宋_GB2312" w:hAnsi="宋体"/>
          <w:color w:val="auto"/>
          <w:sz w:val="32"/>
          <w:szCs w:val="32"/>
          <w:highlight w:val="none"/>
          <w:u w:val="none"/>
          <w:lang w:val="zh-CN"/>
        </w:rPr>
      </w:pPr>
      <w:r>
        <w:rPr>
          <w:rFonts w:hint="eastAsia" w:ascii="黑体" w:hAnsi="黑体" w:eastAsia="黑体" w:cs="黑体"/>
          <w:sz w:val="32"/>
          <w:szCs w:val="32"/>
          <w:lang w:val="zh-CN" w:eastAsia="zh-CN"/>
        </w:rPr>
        <w:t>三、绩效分析</w:t>
      </w:r>
      <w:r>
        <w:rPr>
          <w:rFonts w:hint="eastAsia" w:ascii="仿宋_GB2312" w:hAnsi="宋体"/>
          <w:color w:val="auto"/>
          <w:sz w:val="32"/>
          <w:szCs w:val="32"/>
          <w:highlight w:val="none"/>
          <w:u w:val="none"/>
          <w:lang w:val="zh-CN"/>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w:t>
      </w:r>
      <w:r>
        <w:rPr>
          <w:rFonts w:hint="default" w:ascii="仿宋_GB2312" w:hAnsi="仿宋_GB2312" w:eastAsia="仿宋_GB2312" w:cs="仿宋_GB2312"/>
          <w:sz w:val="32"/>
          <w:szCs w:val="32"/>
          <w:lang w:val="zh-CN" w:eastAsia="zh-CN"/>
        </w:rPr>
        <w:t>根据</w:t>
      </w:r>
      <w:r>
        <w:rPr>
          <w:rFonts w:hint="eastAsia" w:ascii="仿宋_GB2312" w:hAnsi="仿宋_GB2312" w:eastAsia="仿宋_GB2312" w:cs="仿宋_GB2312"/>
          <w:sz w:val="32"/>
          <w:szCs w:val="32"/>
          <w:lang w:val="zh-CN" w:eastAsia="zh-CN"/>
        </w:rPr>
        <w:t>项目</w:t>
      </w:r>
      <w:r>
        <w:rPr>
          <w:rFonts w:hint="default" w:ascii="仿宋_GB2312" w:hAnsi="仿宋_GB2312" w:eastAsia="仿宋_GB2312" w:cs="仿宋_GB2312"/>
          <w:sz w:val="32"/>
          <w:szCs w:val="32"/>
          <w:lang w:val="zh-CN" w:eastAsia="zh-CN"/>
        </w:rPr>
        <w:t>预算绩效评价指标体系“</w:t>
      </w:r>
      <w:r>
        <w:rPr>
          <w:rFonts w:hint="eastAsia" w:ascii="仿宋_GB2312" w:hAnsi="仿宋_GB2312" w:eastAsia="仿宋_GB2312" w:cs="仿宋_GB2312"/>
          <w:sz w:val="32"/>
          <w:szCs w:val="32"/>
          <w:lang w:val="zh-CN" w:eastAsia="zh-CN"/>
        </w:rPr>
        <w:t>通用指标</w:t>
      </w:r>
      <w:r>
        <w:rPr>
          <w:rFonts w:hint="default"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eastAsia="zh-CN"/>
        </w:rPr>
        <w:t>“专用指标”“个性指标”三个方面对该项资金进行了全方位自评工作，具体情况如下：</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rPr>
        <w:t>绩效分析。</w:t>
      </w:r>
      <w:r>
        <w:rPr>
          <w:rFonts w:hint="eastAsia" w:ascii="楷体_GB2312" w:hAnsi="宋体" w:eastAsia="楷体_GB2312" w:cs="Times New Roman"/>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en-US" w:eastAsia="zh-CN"/>
        </w:rPr>
        <w:t>49.7分</w:t>
      </w:r>
      <w:r>
        <w:rPr>
          <w:rFonts w:hint="eastAsia" w:ascii="楷体_GB2312" w:hAnsi="宋体" w:eastAsia="楷体_GB2312" w:cs="Times New Roman"/>
          <w:b/>
          <w:color w:val="auto"/>
          <w:sz w:val="32"/>
          <w:szCs w:val="32"/>
          <w:highlight w:val="none"/>
          <w:u w:val="none"/>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项目决策</w:t>
      </w:r>
      <w:r>
        <w:rPr>
          <w:rFonts w:hint="eastAsia" w:ascii="仿宋_GB2312" w:hAnsi="仿宋_GB2312" w:eastAsia="仿宋_GB2312" w:cs="仿宋_GB2312"/>
          <w:sz w:val="32"/>
          <w:szCs w:val="32"/>
          <w:lang w:val="en-US" w:eastAsia="zh-CN"/>
        </w:rPr>
        <w:t>(18分）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决策程序（</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：项目设立、调整延续等方面符合资金管理基本规范和决策程序要求。项目设立依据</w:t>
      </w:r>
      <w:r>
        <w:rPr>
          <w:rFonts w:hint="eastAsia" w:ascii="仿宋_GB2312" w:hAnsi="仿宋_GB2312" w:eastAsia="仿宋_GB2312" w:cs="仿宋_GB2312"/>
          <w:sz w:val="32"/>
          <w:szCs w:val="32"/>
          <w:lang w:val="en-US" w:eastAsia="zh-CN"/>
        </w:rPr>
        <w:t xml:space="preserve">《四川省卫生健康委员会关于印发四川省 2023 </w:t>
      </w:r>
      <w:r>
        <w:rPr>
          <w:rFonts w:hint="default" w:ascii="仿宋_GB2312" w:hAnsi="仿宋_GB2312" w:eastAsia="仿宋_GB2312" w:cs="仿宋_GB2312"/>
          <w:sz w:val="32"/>
          <w:szCs w:val="32"/>
          <w:lang w:val="en-US" w:eastAsia="zh-CN"/>
        </w:rPr>
        <w:t>年中央财政补助艾滋病等重大传染病和地方病防治项目第</w:t>
      </w: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批资金实施方案的通知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川卫重传函〔2023〕</w:t>
      </w:r>
      <w:r>
        <w:rPr>
          <w:rFonts w:hint="default" w:ascii="仿宋_GB2312" w:hAnsi="仿宋_GB2312" w:eastAsia="仿宋_GB2312" w:cs="仿宋_GB2312"/>
          <w:sz w:val="32"/>
          <w:szCs w:val="32"/>
          <w:lang w:val="zh-CN" w:eastAsia="zh-CN"/>
        </w:rPr>
        <w:t xml:space="preserve">4 </w:t>
      </w:r>
      <w:r>
        <w:rPr>
          <w:rFonts w:hint="eastAsia" w:ascii="仿宋_GB2312" w:hAnsi="仿宋_GB2312" w:eastAsia="仿宋_GB2312" w:cs="仿宋_GB2312"/>
          <w:sz w:val="32"/>
          <w:szCs w:val="32"/>
          <w:lang w:val="zh-CN" w:eastAsia="zh-CN"/>
        </w:rPr>
        <w:t>号）、</w:t>
      </w:r>
      <w:r>
        <w:rPr>
          <w:rFonts w:hint="eastAsia" w:ascii="仿宋_GB2312" w:hAnsi="仿宋_GB2312" w:eastAsia="仿宋_GB2312" w:cs="仿宋_GB2312"/>
          <w:sz w:val="32"/>
          <w:szCs w:val="32"/>
          <w:lang w:val="en-US" w:eastAsia="zh-CN"/>
        </w:rPr>
        <w:t xml:space="preserve">《四川省卫生健康委员会关于印发四川省 2023 </w:t>
      </w:r>
      <w:r>
        <w:rPr>
          <w:rFonts w:hint="default" w:ascii="仿宋_GB2312" w:hAnsi="仿宋_GB2312" w:eastAsia="仿宋_GB2312" w:cs="仿宋_GB2312"/>
          <w:sz w:val="32"/>
          <w:szCs w:val="32"/>
          <w:lang w:val="en-US" w:eastAsia="zh-CN"/>
        </w:rPr>
        <w:t>年中央财政补助艾滋病等重大传染病和地方病防治项目第二批资金实施方案的通知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川卫重传函〔2023〕</w:t>
      </w:r>
      <w:r>
        <w:rPr>
          <w:rFonts w:hint="default" w:ascii="仿宋_GB2312" w:hAnsi="仿宋_GB2312" w:eastAsia="仿宋_GB2312" w:cs="仿宋_GB2312"/>
          <w:sz w:val="32"/>
          <w:szCs w:val="32"/>
          <w:lang w:val="zh-CN" w:eastAsia="zh-CN"/>
        </w:rPr>
        <w:t xml:space="preserve">264 </w:t>
      </w:r>
      <w:r>
        <w:rPr>
          <w:rFonts w:hint="eastAsia" w:ascii="仿宋_GB2312" w:hAnsi="仿宋_GB2312" w:eastAsia="仿宋_GB2312" w:cs="仿宋_GB2312"/>
          <w:sz w:val="32"/>
          <w:szCs w:val="32"/>
          <w:lang w:val="zh-CN" w:eastAsia="zh-CN"/>
        </w:rPr>
        <w:t>号）；《阿坝州卫生健康委员会关于印发阿坝州2024年中央财政补助艾滋病等重大传染病和地方病防治项目第一批资金实施方案的通知》（阿州卫健发〔2024〕25号）；《阿坝州卫生健康委员会关于印发阿坝州2024年中央财政补助艾滋病等重大传染病和地方病防治项目第二批资金实施方案的通知》阿州卫健发〔2024〕38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规划论证（</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：项目规划符合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川卫重传函〔2023〕</w:t>
      </w:r>
      <w:r>
        <w:rPr>
          <w:rFonts w:hint="default" w:ascii="仿宋_GB2312" w:hAnsi="仿宋_GB2312" w:eastAsia="仿宋_GB2312" w:cs="仿宋_GB2312"/>
          <w:sz w:val="32"/>
          <w:szCs w:val="32"/>
          <w:lang w:val="zh-CN" w:eastAsia="zh-CN"/>
        </w:rPr>
        <w:t xml:space="preserve">4 </w:t>
      </w:r>
      <w:r>
        <w:rPr>
          <w:rFonts w:hint="eastAsia" w:ascii="仿宋_GB2312" w:hAnsi="仿宋_GB2312" w:eastAsia="仿宋_GB2312" w:cs="仿宋_GB2312"/>
          <w:sz w:val="32"/>
          <w:szCs w:val="32"/>
          <w:lang w:val="zh-CN" w:eastAsia="zh-CN"/>
        </w:rPr>
        <w:t>号）、（阿州卫健发〔2024〕25号）、阿州卫健发〔2024〕38号文件要求；项目充分评估了论证项目立项必要性、前瞻性、合理性和可行性；项目总体绩效目标设置合理性的偏离度≤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%；绩效目标科学合理、规范完整、量化细化、预算匹配。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资金投向（</w:t>
      </w:r>
      <w:r>
        <w:rPr>
          <w:rFonts w:hint="eastAsia" w:ascii="仿宋_GB2312" w:hAnsi="仿宋_GB2312" w:eastAsia="仿宋_GB2312" w:cs="仿宋_GB2312"/>
          <w:sz w:val="32"/>
          <w:szCs w:val="32"/>
          <w:lang w:val="en-US" w:eastAsia="zh-CN"/>
        </w:rPr>
        <w:t>6分）：该项目</w:t>
      </w:r>
      <w:r>
        <w:rPr>
          <w:rFonts w:hint="eastAsia" w:ascii="仿宋_GB2312" w:hAnsi="仿宋_GB2312" w:eastAsia="仿宋_GB2312" w:cs="仿宋_GB2312"/>
          <w:sz w:val="32"/>
          <w:szCs w:val="32"/>
          <w:lang w:val="zh-CN" w:eastAsia="zh-CN"/>
        </w:rPr>
        <w:t>属于政府支持范围，且符合财政事权支出责任划分规定；资金投向与项目总体规划、相关行业事业发展相匹配；聚焦重大任务、重点领域、重点环节和重点项目，体现“集中</w:t>
      </w:r>
      <w:r>
        <w:rPr>
          <w:rFonts w:hint="eastAsia" w:ascii="仿宋_GB2312" w:hAnsi="仿宋_GB2312" w:cs="仿宋_GB2312"/>
          <w:sz w:val="32"/>
          <w:szCs w:val="32"/>
          <w:lang w:val="zh-CN" w:eastAsia="zh-CN"/>
        </w:rPr>
        <w:t>力量</w:t>
      </w:r>
      <w:bookmarkStart w:id="0" w:name="_GoBack"/>
      <w:bookmarkEnd w:id="0"/>
      <w:r>
        <w:rPr>
          <w:rFonts w:hint="eastAsia" w:ascii="仿宋_GB2312" w:hAnsi="仿宋_GB2312" w:eastAsia="仿宋_GB2312" w:cs="仿宋_GB2312"/>
          <w:sz w:val="32"/>
          <w:szCs w:val="32"/>
          <w:lang w:val="zh-CN" w:eastAsia="zh-CN"/>
        </w:rPr>
        <w:t>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项目管理</w:t>
      </w:r>
      <w:r>
        <w:rPr>
          <w:rFonts w:hint="eastAsia" w:ascii="仿宋_GB2312" w:hAnsi="仿宋_GB2312" w:eastAsia="仿宋_GB2312" w:cs="仿宋_GB2312"/>
          <w:sz w:val="32"/>
          <w:szCs w:val="32"/>
          <w:lang w:val="en-US" w:eastAsia="zh-CN"/>
        </w:rPr>
        <w:t xml:space="preserve"> （17分）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制度办法（</w:t>
      </w:r>
      <w:r>
        <w:rPr>
          <w:rFonts w:hint="eastAsia" w:ascii="仿宋_GB2312" w:hAnsi="仿宋_GB2312" w:eastAsia="仿宋_GB2312" w:cs="仿宋_GB2312"/>
          <w:sz w:val="32"/>
          <w:szCs w:val="32"/>
          <w:lang w:val="en-US" w:eastAsia="zh-CN"/>
        </w:rPr>
        <w:t>1分</w:t>
      </w:r>
      <w:r>
        <w:rPr>
          <w:rFonts w:hint="eastAsia" w:ascii="仿宋_GB2312" w:hAnsi="仿宋_GB2312" w:eastAsia="仿宋_GB2312" w:cs="仿宋_GB2312"/>
          <w:sz w:val="32"/>
          <w:szCs w:val="32"/>
          <w:lang w:val="zh-CN" w:eastAsia="zh-CN"/>
        </w:rPr>
        <w:t>）：单位制定了项目资金使用计划，但资金管理办法等管理制度体系仍需进一步完善。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分配管理（</w:t>
      </w:r>
      <w:r>
        <w:rPr>
          <w:rFonts w:hint="eastAsia" w:ascii="仿宋_GB2312" w:hAnsi="仿宋_GB2312" w:eastAsia="仿宋_GB2312" w:cs="仿宋_GB2312"/>
          <w:sz w:val="32"/>
          <w:szCs w:val="32"/>
          <w:lang w:val="en-US" w:eastAsia="zh-CN"/>
        </w:rPr>
        <w:t>10分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）项目分配法：预算管理一体化有项目库；实行入库项目动态管理，按月、按季度开展动态监控；明确项目申报审核程序，按规定程序履行项目审批，项目申报符合州级要求。（</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绩效监管（</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3.项目实施（8.17分）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预算执行（</w:t>
      </w:r>
      <w:r>
        <w:rPr>
          <w:rFonts w:hint="eastAsia" w:ascii="仿宋_GB2312" w:hAnsi="仿宋_GB2312" w:eastAsia="仿宋_GB2312" w:cs="仿宋_GB2312"/>
          <w:sz w:val="32"/>
          <w:szCs w:val="32"/>
          <w:lang w:val="en-US" w:eastAsia="zh-CN"/>
        </w:rPr>
        <w:t>5.17分</w:t>
      </w:r>
      <w:r>
        <w:rPr>
          <w:rFonts w:hint="eastAsia" w:ascii="仿宋_GB2312" w:hAnsi="仿宋_GB2312" w:eastAsia="仿宋_GB2312" w:cs="仿宋_GB2312"/>
          <w:sz w:val="32"/>
          <w:szCs w:val="32"/>
          <w:lang w:val="zh-CN" w:eastAsia="zh-CN"/>
        </w:rPr>
        <w:t>）：该项指标得分=</w:t>
      </w:r>
      <w:r>
        <w:rPr>
          <w:rFonts w:hint="default" w:ascii="仿宋_GB2312" w:hAnsi="仿宋_GB2312" w:eastAsia="仿宋_GB2312" w:cs="仿宋_GB2312"/>
          <w:sz w:val="32"/>
          <w:szCs w:val="32"/>
          <w:lang w:val="en-US" w:eastAsia="zh-CN"/>
        </w:rPr>
        <w:t>财政资金拨付率×100%×2+</w:t>
      </w:r>
      <w:r>
        <w:rPr>
          <w:rFonts w:hint="eastAsia" w:ascii="仿宋_GB2312" w:hAnsi="仿宋_GB2312" w:eastAsia="仿宋_GB2312" w:cs="仿宋_GB2312"/>
          <w:sz w:val="32"/>
          <w:szCs w:val="32"/>
          <w:lang w:val="en-US" w:eastAsia="zh-CN"/>
        </w:rPr>
        <w:t>单位资金使用</w:t>
      </w:r>
      <w:r>
        <w:rPr>
          <w:rFonts w:hint="default" w:ascii="仿宋_GB2312" w:hAnsi="仿宋_GB2312" w:eastAsia="仿宋_GB2312" w:cs="仿宋_GB2312"/>
          <w:sz w:val="32"/>
          <w:szCs w:val="32"/>
          <w:lang w:val="en-US" w:eastAsia="zh-CN"/>
        </w:rPr>
        <w:t>率×100%×2+地方资金到位率×100%×2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×100%×2+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58.79</w:t>
      </w:r>
      <w:r>
        <w:rPr>
          <w:rFonts w:hint="eastAsia" w:ascii="仿宋_GB2312" w:hAnsi="仿宋_GB2312" w:eastAsia="仿宋_GB2312" w:cs="仿宋_GB2312"/>
          <w:sz w:val="32"/>
          <w:szCs w:val="32"/>
          <w:lang w:val="zh-CN" w:eastAsia="zh-CN"/>
        </w:rPr>
        <w:t>%×2+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×100%×2</w:t>
      </w:r>
      <w:r>
        <w:rPr>
          <w:rFonts w:hint="eastAsia" w:ascii="仿宋_GB2312" w:hAnsi="仿宋_GB2312" w:eastAsia="仿宋_GB2312" w:cs="仿宋_GB2312"/>
          <w:sz w:val="32"/>
          <w:szCs w:val="32"/>
          <w:lang w:val="en-US" w:eastAsia="zh-CN"/>
        </w:rPr>
        <w:t>=5.17分。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资金使用（</w:t>
      </w:r>
      <w:r>
        <w:rPr>
          <w:rFonts w:hint="eastAsia" w:ascii="仿宋_GB2312" w:hAnsi="仿宋_GB2312" w:eastAsia="仿宋_GB2312" w:cs="仿宋_GB2312"/>
          <w:sz w:val="32"/>
          <w:szCs w:val="32"/>
          <w:lang w:val="en-US" w:eastAsia="zh-CN"/>
        </w:rPr>
        <w:t>3分</w:t>
      </w:r>
      <w:r>
        <w:rPr>
          <w:rFonts w:hint="eastAsia" w:ascii="仿宋_GB2312" w:hAnsi="仿宋_GB2312" w:eastAsia="仿宋_GB2312" w:cs="仿宋_GB2312"/>
          <w:sz w:val="32"/>
          <w:szCs w:val="32"/>
          <w:lang w:val="zh-CN"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4.项目结果 （6.53分）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目标完成（3.53分）：该项指标得分=实际完成目标任务量÷首次批复立项设定绩效目标任务总量×100%×6=221.17÷376.23×100%×6=3.53分。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完成时效（</w:t>
      </w:r>
      <w:r>
        <w:rPr>
          <w:rFonts w:hint="eastAsia" w:ascii="仿宋_GB2312" w:hAnsi="仿宋_GB2312" w:eastAsia="仿宋_GB2312" w:cs="仿宋_GB2312"/>
          <w:sz w:val="32"/>
          <w:szCs w:val="32"/>
          <w:lang w:val="en-US" w:eastAsia="zh-CN"/>
        </w:rPr>
        <w:t>3分</w:t>
      </w:r>
      <w:r>
        <w:rPr>
          <w:rFonts w:hint="eastAsia" w:ascii="仿宋_GB2312" w:hAnsi="仿宋_GB2312" w:eastAsia="仿宋_GB2312" w:cs="仿宋_GB2312"/>
          <w:sz w:val="32"/>
          <w:szCs w:val="32"/>
          <w:lang w:val="zh-CN" w:eastAsia="zh-CN"/>
        </w:rPr>
        <w:t>）：该项指标得分=（1-(</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）×100%×3</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指标以月数为单位。实际完成时间-计划完成时间等于0，得</w:t>
      </w:r>
      <w:r>
        <w:rPr>
          <w:rFonts w:hint="eastAsia" w:ascii="仿宋_GB2312" w:hAnsi="仿宋_GB2312" w:eastAsia="仿宋_GB2312" w:cs="仿宋_GB2312"/>
          <w:sz w:val="32"/>
          <w:szCs w:val="32"/>
          <w:lang w:val="en-US" w:eastAsia="zh-CN"/>
        </w:rPr>
        <w:t>3分。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r>
        <w:rPr>
          <w:rFonts w:hint="eastAsia" w:ascii="楷体_GB2312" w:hAnsi="宋体" w:eastAsia="楷体_GB2312" w:cs="Times New Roman"/>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en-US" w:eastAsia="zh-CN"/>
        </w:rPr>
        <w:t>30分</w:t>
      </w:r>
      <w:r>
        <w:rPr>
          <w:rFonts w:hint="eastAsia" w:ascii="楷体_GB2312" w:hAnsi="宋体" w:eastAsia="楷体_GB2312" w:cs="Times New Roman"/>
          <w:b/>
          <w:color w:val="auto"/>
          <w:sz w:val="32"/>
          <w:szCs w:val="32"/>
          <w:highlight w:val="none"/>
          <w:u w:val="none"/>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民生保障：该项目主要涉及民生保障。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区域均衡性（</w:t>
      </w:r>
      <w:r>
        <w:rPr>
          <w:rFonts w:hint="eastAsia" w:ascii="仿宋_GB2312" w:hAnsi="仿宋_GB2312" w:eastAsia="仿宋_GB2312" w:cs="仿宋_GB2312"/>
          <w:sz w:val="32"/>
          <w:szCs w:val="32"/>
          <w:lang w:val="en-US" w:eastAsia="zh-CN"/>
        </w:rPr>
        <w:t>10分</w:t>
      </w:r>
      <w:r>
        <w:rPr>
          <w:rFonts w:hint="eastAsia" w:ascii="仿宋_GB2312" w:hAnsi="仿宋_GB2312" w:eastAsia="仿宋_GB2312" w:cs="仿宋_GB2312"/>
          <w:sz w:val="32"/>
          <w:szCs w:val="32"/>
          <w:lang w:val="zh-CN" w:eastAsia="zh-CN"/>
        </w:rPr>
        <w:t>）：该项目实施使本县重大传染病防治能力得到了改善。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对象精准性（</w:t>
      </w:r>
      <w:r>
        <w:rPr>
          <w:rFonts w:hint="eastAsia" w:ascii="仿宋_GB2312" w:hAnsi="仿宋_GB2312" w:eastAsia="仿宋_GB2312" w:cs="仿宋_GB2312"/>
          <w:sz w:val="32"/>
          <w:szCs w:val="32"/>
          <w:lang w:val="en-US" w:eastAsia="zh-CN"/>
        </w:rPr>
        <w:t>10分</w:t>
      </w:r>
      <w:r>
        <w:rPr>
          <w:rFonts w:hint="eastAsia" w:ascii="仿宋_GB2312" w:hAnsi="仿宋_GB2312" w:eastAsia="仿宋_GB2312" w:cs="仿宋_GB2312"/>
          <w:sz w:val="32"/>
          <w:szCs w:val="32"/>
          <w:lang w:val="zh-CN" w:eastAsia="zh-CN"/>
        </w:rPr>
        <w:t>）：该项指标得分=（</w:t>
      </w:r>
      <w:r>
        <w:rPr>
          <w:rFonts w:hint="eastAsia" w:ascii="仿宋_GB2312" w:hAnsi="仿宋_GB2312" w:eastAsia="仿宋_GB2312" w:cs="仿宋_GB2312"/>
          <w:sz w:val="32"/>
          <w:szCs w:val="32"/>
          <w:lang w:val="en-US" w:eastAsia="zh-CN"/>
        </w:rPr>
        <w:t>19510</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17800</w:t>
      </w:r>
      <w:r>
        <w:rPr>
          <w:rFonts w:hint="eastAsia" w:ascii="仿宋_GB2312" w:hAnsi="仿宋_GB2312" w:eastAsia="仿宋_GB2312" w:cs="仿宋_GB2312"/>
          <w:sz w:val="32"/>
          <w:szCs w:val="32"/>
          <w:lang w:val="zh-CN" w:eastAsia="zh-CN"/>
        </w:rPr>
        <w:t>×100%×10</w:t>
      </w:r>
      <w:r>
        <w:rPr>
          <w:rFonts w:hint="eastAsia" w:ascii="仿宋_GB2312" w:hAnsi="仿宋_GB2312" w:eastAsia="仿宋_GB2312" w:cs="仿宋_GB2312"/>
          <w:sz w:val="32"/>
          <w:szCs w:val="32"/>
          <w:lang w:val="en-US" w:eastAsia="zh-CN"/>
        </w:rPr>
        <w:t>=10分。抽样的支持对象总人数19510人，不符合支持对象人数0人，抽样的支持对象总人数19510人。（选取艾滋病重点人群扩大检测人次数作为自评依据）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标准合理性（</w:t>
      </w:r>
      <w:r>
        <w:rPr>
          <w:rFonts w:hint="eastAsia" w:ascii="仿宋_GB2312" w:hAnsi="仿宋_GB2312" w:eastAsia="仿宋_GB2312" w:cs="仿宋_GB2312"/>
          <w:sz w:val="32"/>
          <w:szCs w:val="32"/>
          <w:lang w:val="en-US" w:eastAsia="zh-CN"/>
        </w:rPr>
        <w:t>5分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该项指标得分=（19150-0）÷17800×100%×5=5分。（选取艾滋病重点人群扩大检测人次数作为自评依据）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群众满意度（</w:t>
      </w:r>
      <w:r>
        <w:rPr>
          <w:rFonts w:hint="eastAsia" w:ascii="仿宋_GB2312" w:hAnsi="仿宋_GB2312" w:eastAsia="仿宋_GB2312" w:cs="仿宋_GB2312"/>
          <w:sz w:val="32"/>
          <w:szCs w:val="32"/>
          <w:lang w:val="en-US" w:eastAsia="zh-CN"/>
        </w:rPr>
        <w:t>5分</w:t>
      </w:r>
      <w:r>
        <w:rPr>
          <w:rFonts w:hint="eastAsia" w:ascii="仿宋_GB2312" w:hAnsi="仿宋_GB2312" w:eastAsia="仿宋_GB2312" w:cs="仿宋_GB2312"/>
          <w:sz w:val="32"/>
          <w:szCs w:val="32"/>
          <w:lang w:val="zh-CN" w:eastAsia="zh-CN"/>
        </w:rPr>
        <w:t>）：该项指标得分=</w:t>
      </w:r>
      <w:r>
        <w:rPr>
          <w:rFonts w:hint="eastAsia" w:ascii="仿宋_GB2312" w:hAnsi="仿宋_GB2312" w:eastAsia="仿宋_GB2312" w:cs="仿宋_GB2312"/>
          <w:sz w:val="32"/>
          <w:szCs w:val="32"/>
          <w:lang w:val="en-US" w:eastAsia="zh-CN"/>
        </w:rPr>
        <w:t>0.90</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lang w:val="zh-CN" w:eastAsia="zh-CN"/>
        </w:rPr>
        <w:t>%×5</w:t>
      </w:r>
      <w:r>
        <w:rPr>
          <w:rFonts w:hint="eastAsia" w:ascii="仿宋_GB2312" w:hAnsi="仿宋_GB2312" w:eastAsia="仿宋_GB2312" w:cs="仿宋_GB2312"/>
          <w:sz w:val="32"/>
          <w:szCs w:val="32"/>
          <w:lang w:val="en-US" w:eastAsia="zh-CN"/>
        </w:rPr>
        <w:t>=5分。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cs="Times New Roman"/>
          <w:color w:val="auto"/>
          <w:szCs w:val="32"/>
          <w:lang w:val="en-US" w:eastAsia="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Times New Roman" w:hAnsi="Times New Roman" w:eastAsia="楷体_GB2312" w:cs="Times New Roman"/>
          <w:b/>
          <w:bCs/>
          <w:color w:val="auto"/>
          <w:kern w:val="0"/>
          <w:szCs w:val="32"/>
          <w:highlight w:val="none"/>
          <w:shd w:val="clear" w:color="auto" w:fill="FFFFFF"/>
          <w:lang w:val="zh-CN"/>
        </w:rPr>
        <w:t>绩效分析</w:t>
      </w:r>
      <w:r>
        <w:rPr>
          <w:rFonts w:hint="eastAsia" w:eastAsia="楷体_GB2312" w:cs="Times New Roman"/>
          <w:b/>
          <w:bCs/>
          <w:color w:val="auto"/>
          <w:kern w:val="0"/>
          <w:szCs w:val="32"/>
          <w:highlight w:val="none"/>
          <w:shd w:val="clear" w:color="auto" w:fill="FFFFFF"/>
          <w:lang w:val="zh-CN"/>
        </w:rPr>
        <w:t>（</w:t>
      </w:r>
      <w:r>
        <w:rPr>
          <w:rFonts w:hint="eastAsia" w:eastAsia="楷体_GB2312" w:cs="Times New Roman"/>
          <w:b/>
          <w:bCs/>
          <w:color w:val="auto"/>
          <w:kern w:val="0"/>
          <w:szCs w:val="32"/>
          <w:highlight w:val="none"/>
          <w:shd w:val="clear" w:color="auto" w:fill="FFFFFF"/>
          <w:lang w:val="en-US" w:eastAsia="zh-CN"/>
        </w:rPr>
        <w:t>16分</w:t>
      </w:r>
      <w:r>
        <w:rPr>
          <w:rFonts w:hint="eastAsia" w:eastAsia="楷体_GB2312" w:cs="Times New Roman"/>
          <w:b/>
          <w:bCs/>
          <w:color w:val="auto"/>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数量指标（16分）：艾滋病人群扩大监测人次数≥17800人次(8分）。实际完成19510人次.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全年完成了枯水期、丰水期、季度水监测104个（8分）。完成104个。</w:t>
      </w:r>
    </w:p>
    <w:p>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四、评价结论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该项专项预算项目绩效自评总体结论优异，自评得分95.7分，项目实施范围符合州级要求，并按照完成了项目资金拨付，截止2024年12月31日，资金使用率达58.79%。</w:t>
      </w:r>
    </w:p>
    <w:p>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五、存在主要问题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资金下达标准与实际使用严重不符。项目资金明细表明确了项目资金使用标准及范围，中心相关工作人员已经按照项目目标开展工作，并完成了各项项目指标任务。但因开展项目工作的人员大部分均属于在职在编人员，无法将下达的项目资金用于发放工作人员补助。导致项目内容已实施完毕，仍有大部分项目资金净结余，资金执行率不高。</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Times New Roman" w:hAnsi="Times New Roman" w:cs="Times New Roman"/>
          <w:color w:val="000000"/>
          <w:kern w:val="0"/>
          <w:szCs w:val="32"/>
          <w:highlight w:val="none"/>
          <w:shd w:val="clear" w:color="auto" w:fill="FFFFFF"/>
          <w:lang w:val="en-US" w:eastAsia="zh-CN"/>
        </w:rPr>
      </w:pPr>
      <w:r>
        <w:rPr>
          <w:rFonts w:hint="eastAsia" w:ascii="仿宋_GB2312" w:hAnsi="仿宋_GB2312" w:cs="仿宋_GB2312"/>
          <w:b w:val="0"/>
          <w:bCs w:val="0"/>
          <w:color w:val="auto"/>
          <w:kern w:val="0"/>
          <w:position w:val="0"/>
          <w:sz w:val="32"/>
          <w:szCs w:val="32"/>
          <w:highlight w:val="none"/>
          <w:lang w:val="en-US" w:eastAsia="zh-CN" w:bidi="ar-SA"/>
        </w:rPr>
        <w:t xml:space="preserve">   </w:t>
      </w:r>
      <w:r>
        <w:rPr>
          <w:rFonts w:hint="eastAsia" w:ascii="仿宋_GB2312" w:hAnsi="仿宋_GB2312" w:eastAsia="仿宋_GB2312" w:cs="仿宋_GB2312"/>
          <w:sz w:val="32"/>
          <w:szCs w:val="32"/>
          <w:lang w:val="en-US" w:eastAsia="zh-CN"/>
        </w:rPr>
        <w:t>下达项目资金时，应共同考量服务对象人数及开展工作量，并允许项目有小部分净结余资金。</w:t>
      </w: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w:t>
      </w: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-736600</wp:posOffset>
            </wp:positionV>
            <wp:extent cx="1487805" cy="1458595"/>
            <wp:effectExtent l="202565" t="196850" r="205740" b="201295"/>
            <wp:wrapNone/>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r>
        <w:rPr>
          <w:rFonts w:hint="eastAsia" w:ascii="仿宋_GB2312" w:hAnsi="仿宋_GB2312" w:eastAsia="仿宋_GB2312" w:cs="仿宋_GB2312"/>
          <w:sz w:val="32"/>
          <w:szCs w:val="32"/>
          <w:lang w:val="en-US" w:eastAsia="zh-CN"/>
        </w:rPr>
        <w:t>5月20日</w:t>
      </w:r>
    </w:p>
    <w:p>
      <w:pPr>
        <w:pStyle w:val="2"/>
        <w:rPr>
          <w:rFonts w:hint="eastAsia" w:ascii="仿宋_GB2312" w:hAnsi="仿宋_GB2312" w:eastAsia="仿宋_GB2312" w:cs="仿宋_GB2312"/>
          <w:sz w:val="32"/>
          <w:szCs w:val="32"/>
          <w:lang w:val="en-US" w:eastAsia="zh-CN"/>
        </w:rPr>
      </w:pPr>
    </w:p>
    <w:p>
      <w:pPr>
        <w:rPr>
          <w:rFonts w:hint="default"/>
          <w:lang w:val="zh-CN" w:eastAsia="zh-CN"/>
        </w:rPr>
      </w:pPr>
    </w:p>
    <w:p>
      <w:pPr>
        <w:pStyle w:val="5"/>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jc w:val="left"/>
        <w:rPr>
          <w:rFonts w:hint="eastAsia"/>
          <w:lang w:val="en-US" w:eastAsia="zh-CN"/>
        </w:rPr>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p>
      <w:pPr>
        <w:rPr>
          <w:rFonts w:hint="default" w:ascii="黑体" w:hAns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kZDlkNjg5NWVkNWU2ZDNmZGZjYjczNjZmMTIwMmYifQ=="/>
  </w:docVars>
  <w:rsids>
    <w:rsidRoot w:val="771D4D51"/>
    <w:rsid w:val="004E2611"/>
    <w:rsid w:val="01347A59"/>
    <w:rsid w:val="01D6466C"/>
    <w:rsid w:val="023F4471"/>
    <w:rsid w:val="02423A30"/>
    <w:rsid w:val="027C19E6"/>
    <w:rsid w:val="045A3333"/>
    <w:rsid w:val="04627ED9"/>
    <w:rsid w:val="05BC1F54"/>
    <w:rsid w:val="066A6BA6"/>
    <w:rsid w:val="06710E08"/>
    <w:rsid w:val="067B5CB7"/>
    <w:rsid w:val="07227327"/>
    <w:rsid w:val="075F5112"/>
    <w:rsid w:val="07B8649C"/>
    <w:rsid w:val="08BA7084"/>
    <w:rsid w:val="08F31FA8"/>
    <w:rsid w:val="08FE1164"/>
    <w:rsid w:val="093D1475"/>
    <w:rsid w:val="09BD49A0"/>
    <w:rsid w:val="09EC5DFC"/>
    <w:rsid w:val="0A2D14EA"/>
    <w:rsid w:val="0C4C1987"/>
    <w:rsid w:val="0C8024E5"/>
    <w:rsid w:val="0C9E222B"/>
    <w:rsid w:val="0CAF45C3"/>
    <w:rsid w:val="0DB5782C"/>
    <w:rsid w:val="0DCB704F"/>
    <w:rsid w:val="0E4B5059"/>
    <w:rsid w:val="0EF132C5"/>
    <w:rsid w:val="0FC41FA8"/>
    <w:rsid w:val="109A0F5B"/>
    <w:rsid w:val="10CD7582"/>
    <w:rsid w:val="115B693C"/>
    <w:rsid w:val="12502A37"/>
    <w:rsid w:val="12FC2A65"/>
    <w:rsid w:val="13017D55"/>
    <w:rsid w:val="13176F30"/>
    <w:rsid w:val="133D08C8"/>
    <w:rsid w:val="136A10B9"/>
    <w:rsid w:val="13A52FFE"/>
    <w:rsid w:val="13C54541"/>
    <w:rsid w:val="14095BDD"/>
    <w:rsid w:val="14627520"/>
    <w:rsid w:val="14C37B54"/>
    <w:rsid w:val="14D26F15"/>
    <w:rsid w:val="151A249D"/>
    <w:rsid w:val="15E74C42"/>
    <w:rsid w:val="16C37E4B"/>
    <w:rsid w:val="1705454C"/>
    <w:rsid w:val="17143815"/>
    <w:rsid w:val="17731475"/>
    <w:rsid w:val="18623210"/>
    <w:rsid w:val="18737BB2"/>
    <w:rsid w:val="18CB43A7"/>
    <w:rsid w:val="18F07534"/>
    <w:rsid w:val="19102702"/>
    <w:rsid w:val="19862C44"/>
    <w:rsid w:val="19C37774"/>
    <w:rsid w:val="1BC17CE4"/>
    <w:rsid w:val="1C25106F"/>
    <w:rsid w:val="1C56042C"/>
    <w:rsid w:val="1CAE1AE5"/>
    <w:rsid w:val="1CFD8DF6"/>
    <w:rsid w:val="1D5F2066"/>
    <w:rsid w:val="1E505F2F"/>
    <w:rsid w:val="1F865520"/>
    <w:rsid w:val="1FFF9AD9"/>
    <w:rsid w:val="20681973"/>
    <w:rsid w:val="21BB75C2"/>
    <w:rsid w:val="226F1B0F"/>
    <w:rsid w:val="22A504AE"/>
    <w:rsid w:val="22AD555F"/>
    <w:rsid w:val="22BE0FBF"/>
    <w:rsid w:val="231E77CA"/>
    <w:rsid w:val="238940C0"/>
    <w:rsid w:val="23AB5501"/>
    <w:rsid w:val="23EFEA1D"/>
    <w:rsid w:val="246833F2"/>
    <w:rsid w:val="249064A5"/>
    <w:rsid w:val="251E1267"/>
    <w:rsid w:val="254737A7"/>
    <w:rsid w:val="26451C3D"/>
    <w:rsid w:val="269F171D"/>
    <w:rsid w:val="26CF2DB3"/>
    <w:rsid w:val="26E7337B"/>
    <w:rsid w:val="26FC4D7C"/>
    <w:rsid w:val="270D25C0"/>
    <w:rsid w:val="27F16796"/>
    <w:rsid w:val="29244571"/>
    <w:rsid w:val="29515A95"/>
    <w:rsid w:val="29C340E9"/>
    <w:rsid w:val="2A241B69"/>
    <w:rsid w:val="2AF86ED7"/>
    <w:rsid w:val="2AFDF212"/>
    <w:rsid w:val="2B1A0677"/>
    <w:rsid w:val="2B385C88"/>
    <w:rsid w:val="2B6BF484"/>
    <w:rsid w:val="2BBF5FEE"/>
    <w:rsid w:val="2BF84775"/>
    <w:rsid w:val="2C251BC9"/>
    <w:rsid w:val="2C6B6EB6"/>
    <w:rsid w:val="2EA7310E"/>
    <w:rsid w:val="2EC61441"/>
    <w:rsid w:val="2F634EE2"/>
    <w:rsid w:val="2FFF7DE7"/>
    <w:rsid w:val="30AA08EF"/>
    <w:rsid w:val="31EC5018"/>
    <w:rsid w:val="324965E4"/>
    <w:rsid w:val="326F1DF0"/>
    <w:rsid w:val="332C1A8F"/>
    <w:rsid w:val="33F748AD"/>
    <w:rsid w:val="341C696E"/>
    <w:rsid w:val="34C603ED"/>
    <w:rsid w:val="34F82570"/>
    <w:rsid w:val="353F1F4D"/>
    <w:rsid w:val="355D0E59"/>
    <w:rsid w:val="35874596"/>
    <w:rsid w:val="35F2A362"/>
    <w:rsid w:val="36BF67D1"/>
    <w:rsid w:val="36EA2AC9"/>
    <w:rsid w:val="371A51D2"/>
    <w:rsid w:val="373BBD0C"/>
    <w:rsid w:val="37476E97"/>
    <w:rsid w:val="37D72911"/>
    <w:rsid w:val="37F1484C"/>
    <w:rsid w:val="387C7014"/>
    <w:rsid w:val="388254FD"/>
    <w:rsid w:val="393D0552"/>
    <w:rsid w:val="39BFEDBA"/>
    <w:rsid w:val="39DBABD8"/>
    <w:rsid w:val="3A0E1EEE"/>
    <w:rsid w:val="3A9643BE"/>
    <w:rsid w:val="3AA50AA5"/>
    <w:rsid w:val="3AED12ED"/>
    <w:rsid w:val="3AFF6A5D"/>
    <w:rsid w:val="3B5D137F"/>
    <w:rsid w:val="3BA06A16"/>
    <w:rsid w:val="3BC767F9"/>
    <w:rsid w:val="3BCC2061"/>
    <w:rsid w:val="3BDD34D2"/>
    <w:rsid w:val="3BDDFF97"/>
    <w:rsid w:val="3BFFD43B"/>
    <w:rsid w:val="3C6127A9"/>
    <w:rsid w:val="3C7BD5C9"/>
    <w:rsid w:val="3CDA3B31"/>
    <w:rsid w:val="3D6A1B31"/>
    <w:rsid w:val="3DDF7E2A"/>
    <w:rsid w:val="3DFF227A"/>
    <w:rsid w:val="3ECC2AA4"/>
    <w:rsid w:val="3EDA2715"/>
    <w:rsid w:val="3FBF9251"/>
    <w:rsid w:val="3FED766E"/>
    <w:rsid w:val="3FFEEAD9"/>
    <w:rsid w:val="3FFFE931"/>
    <w:rsid w:val="404741A6"/>
    <w:rsid w:val="410C5DB5"/>
    <w:rsid w:val="41E72028"/>
    <w:rsid w:val="42462B6D"/>
    <w:rsid w:val="43517F40"/>
    <w:rsid w:val="448B0D0B"/>
    <w:rsid w:val="449B0822"/>
    <w:rsid w:val="44BA09A3"/>
    <w:rsid w:val="450114C5"/>
    <w:rsid w:val="457F07F2"/>
    <w:rsid w:val="458F482B"/>
    <w:rsid w:val="45AF3D99"/>
    <w:rsid w:val="46040D75"/>
    <w:rsid w:val="464C6278"/>
    <w:rsid w:val="46C932BF"/>
    <w:rsid w:val="46F102F3"/>
    <w:rsid w:val="48591960"/>
    <w:rsid w:val="48594C7C"/>
    <w:rsid w:val="48F549A5"/>
    <w:rsid w:val="491C4628"/>
    <w:rsid w:val="49887C09"/>
    <w:rsid w:val="4A805AFA"/>
    <w:rsid w:val="4A99004A"/>
    <w:rsid w:val="4B1B5479"/>
    <w:rsid w:val="4BB70638"/>
    <w:rsid w:val="4BD24FA3"/>
    <w:rsid w:val="4CC6FDBD"/>
    <w:rsid w:val="4D8B7D77"/>
    <w:rsid w:val="4DB34E2F"/>
    <w:rsid w:val="4E07F45D"/>
    <w:rsid w:val="4EC4030C"/>
    <w:rsid w:val="4EFD1011"/>
    <w:rsid w:val="4F027E1C"/>
    <w:rsid w:val="4FC155E1"/>
    <w:rsid w:val="4FF59AF5"/>
    <w:rsid w:val="503D00E8"/>
    <w:rsid w:val="506174DA"/>
    <w:rsid w:val="50722D7F"/>
    <w:rsid w:val="50B52C6C"/>
    <w:rsid w:val="53A0483E"/>
    <w:rsid w:val="54CB74F4"/>
    <w:rsid w:val="551A3996"/>
    <w:rsid w:val="556C0FCB"/>
    <w:rsid w:val="55935C72"/>
    <w:rsid w:val="55FE10A2"/>
    <w:rsid w:val="562B5EAA"/>
    <w:rsid w:val="56EF6619"/>
    <w:rsid w:val="57AF1E73"/>
    <w:rsid w:val="580D37F3"/>
    <w:rsid w:val="58A21898"/>
    <w:rsid w:val="58B761EE"/>
    <w:rsid w:val="58F72073"/>
    <w:rsid w:val="59A0281A"/>
    <w:rsid w:val="59A956B7"/>
    <w:rsid w:val="5A901EAE"/>
    <w:rsid w:val="5AB21C33"/>
    <w:rsid w:val="5AE72F2C"/>
    <w:rsid w:val="5B778EC0"/>
    <w:rsid w:val="5B9E2C7A"/>
    <w:rsid w:val="5BFD93EC"/>
    <w:rsid w:val="5CBA8FF2"/>
    <w:rsid w:val="5D3A69D3"/>
    <w:rsid w:val="5D5F7E21"/>
    <w:rsid w:val="5E6301AB"/>
    <w:rsid w:val="5E847F02"/>
    <w:rsid w:val="5EE72B8A"/>
    <w:rsid w:val="5F5B35E4"/>
    <w:rsid w:val="609FA7B0"/>
    <w:rsid w:val="60B14A48"/>
    <w:rsid w:val="61016185"/>
    <w:rsid w:val="622D4D58"/>
    <w:rsid w:val="64151F48"/>
    <w:rsid w:val="6440448F"/>
    <w:rsid w:val="64FF0C2E"/>
    <w:rsid w:val="652A557F"/>
    <w:rsid w:val="65B8782A"/>
    <w:rsid w:val="65F77B57"/>
    <w:rsid w:val="661F0E5C"/>
    <w:rsid w:val="666A0678"/>
    <w:rsid w:val="69006D22"/>
    <w:rsid w:val="694B077D"/>
    <w:rsid w:val="69824BCF"/>
    <w:rsid w:val="69A9560C"/>
    <w:rsid w:val="69CC12FA"/>
    <w:rsid w:val="69FCE5E7"/>
    <w:rsid w:val="6A246A40"/>
    <w:rsid w:val="6A3A0DF2"/>
    <w:rsid w:val="6AD07B66"/>
    <w:rsid w:val="6B0C642F"/>
    <w:rsid w:val="6BCDA9CC"/>
    <w:rsid w:val="6C2071CF"/>
    <w:rsid w:val="6C2076DB"/>
    <w:rsid w:val="6C8D4D71"/>
    <w:rsid w:val="6CC174CE"/>
    <w:rsid w:val="6D9F2765"/>
    <w:rsid w:val="6DA341C2"/>
    <w:rsid w:val="6DB508E5"/>
    <w:rsid w:val="6DDFA6BD"/>
    <w:rsid w:val="6DE5298B"/>
    <w:rsid w:val="6E767ACE"/>
    <w:rsid w:val="6E781687"/>
    <w:rsid w:val="6E8E4DD0"/>
    <w:rsid w:val="6EEE3ED1"/>
    <w:rsid w:val="6EFFED40"/>
    <w:rsid w:val="6F1B2166"/>
    <w:rsid w:val="6F5FC1DE"/>
    <w:rsid w:val="6F993A2D"/>
    <w:rsid w:val="6FB3E1FD"/>
    <w:rsid w:val="6FD768E4"/>
    <w:rsid w:val="6FF341F1"/>
    <w:rsid w:val="6FFEBD86"/>
    <w:rsid w:val="71004DE1"/>
    <w:rsid w:val="71063344"/>
    <w:rsid w:val="715E0A8A"/>
    <w:rsid w:val="71AA3CCF"/>
    <w:rsid w:val="726E712D"/>
    <w:rsid w:val="72817160"/>
    <w:rsid w:val="739D254F"/>
    <w:rsid w:val="73FF1F09"/>
    <w:rsid w:val="73FF684B"/>
    <w:rsid w:val="74455F31"/>
    <w:rsid w:val="749E3893"/>
    <w:rsid w:val="74A708C5"/>
    <w:rsid w:val="74CA5411"/>
    <w:rsid w:val="74FC7BCA"/>
    <w:rsid w:val="76DFCB7D"/>
    <w:rsid w:val="76F407B4"/>
    <w:rsid w:val="77040325"/>
    <w:rsid w:val="771D4D51"/>
    <w:rsid w:val="7735A28E"/>
    <w:rsid w:val="774E334F"/>
    <w:rsid w:val="775A7F45"/>
    <w:rsid w:val="77778F6D"/>
    <w:rsid w:val="77ABFD6B"/>
    <w:rsid w:val="77B7A121"/>
    <w:rsid w:val="77C748BA"/>
    <w:rsid w:val="77DD24F1"/>
    <w:rsid w:val="77F10335"/>
    <w:rsid w:val="77F7E860"/>
    <w:rsid w:val="77FB8D34"/>
    <w:rsid w:val="78520C1D"/>
    <w:rsid w:val="78E36C78"/>
    <w:rsid w:val="790243F1"/>
    <w:rsid w:val="797D0128"/>
    <w:rsid w:val="79892D64"/>
    <w:rsid w:val="79D833A4"/>
    <w:rsid w:val="79EDB415"/>
    <w:rsid w:val="7A1268B5"/>
    <w:rsid w:val="7ABBCDAB"/>
    <w:rsid w:val="7AD01F98"/>
    <w:rsid w:val="7AFCAD25"/>
    <w:rsid w:val="7AFEB9B4"/>
    <w:rsid w:val="7B272834"/>
    <w:rsid w:val="7B391F11"/>
    <w:rsid w:val="7B5E0C37"/>
    <w:rsid w:val="7B63F034"/>
    <w:rsid w:val="7B6B0973"/>
    <w:rsid w:val="7B6F377A"/>
    <w:rsid w:val="7B735637"/>
    <w:rsid w:val="7B7DE504"/>
    <w:rsid w:val="7BC122A5"/>
    <w:rsid w:val="7BFEC4F8"/>
    <w:rsid w:val="7C113447"/>
    <w:rsid w:val="7C95557C"/>
    <w:rsid w:val="7DA14F75"/>
    <w:rsid w:val="7DB57A61"/>
    <w:rsid w:val="7DC7DC1F"/>
    <w:rsid w:val="7DF95E12"/>
    <w:rsid w:val="7DFDF40F"/>
    <w:rsid w:val="7DFF9BC7"/>
    <w:rsid w:val="7E8A2B21"/>
    <w:rsid w:val="7EB645E3"/>
    <w:rsid w:val="7EB6B7AB"/>
    <w:rsid w:val="7ECF1219"/>
    <w:rsid w:val="7EDEF702"/>
    <w:rsid w:val="7EFD6908"/>
    <w:rsid w:val="7EFF8787"/>
    <w:rsid w:val="7F1C270D"/>
    <w:rsid w:val="7F5F4807"/>
    <w:rsid w:val="7F722518"/>
    <w:rsid w:val="7F7CF90E"/>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BE026F6"/>
    <w:rsid w:val="EDB62A47"/>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D77C2"/>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Plain Text"/>
    <w:basedOn w:val="1"/>
    <w:qFormat/>
    <w:uiPriority w:val="0"/>
    <w:pPr>
      <w:widowControl w:val="0"/>
      <w:jc w:val="both"/>
    </w:pPr>
    <w:rPr>
      <w:rFonts w:hAnsi="Courier New" w:cs="Courier New"/>
      <w:kern w:val="2"/>
      <w:sz w:val="21"/>
      <w:szCs w:val="21"/>
    </w:rPr>
  </w:style>
  <w:style w:type="paragraph" w:styleId="6">
    <w:name w:val="footer"/>
    <w:basedOn w:val="1"/>
    <w:unhideWhenUsed/>
    <w:qFormat/>
    <w:uiPriority w:val="99"/>
    <w:pPr>
      <w:tabs>
        <w:tab w:val="center" w:pos="4153"/>
        <w:tab w:val="right" w:pos="8306"/>
      </w:tabs>
      <w:snapToGrid w:val="0"/>
      <w:jc w:val="left"/>
    </w:pPr>
    <w:rPr>
      <w:sz w:val="18"/>
      <w:szCs w:val="18"/>
      <w:lang w:val="zh-CN" w:eastAsia="zh-CN"/>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8">
    <w:name w:val="toc 1"/>
    <w:basedOn w:val="1"/>
    <w:next w:val="1"/>
    <w:qFormat/>
    <w:uiPriority w:val="0"/>
  </w:style>
  <w:style w:type="paragraph" w:styleId="9">
    <w:name w:val="table of figures"/>
    <w:basedOn w:val="1"/>
    <w:next w:val="1"/>
    <w:unhideWhenUsed/>
    <w:qFormat/>
    <w:uiPriority w:val="99"/>
    <w:pPr>
      <w:ind w:left="200" w:leftChars="200" w:hanging="200" w:hangingChars="200"/>
    </w:pPr>
  </w:style>
  <w:style w:type="paragraph" w:styleId="10">
    <w:name w:val="Body Text First Indent 2"/>
    <w:basedOn w:val="4"/>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6526</Words>
  <Characters>7190</Characters>
  <Lines>0</Lines>
  <Paragraphs>0</Paragraphs>
  <TotalTime>2</TotalTime>
  <ScaleCrop>false</ScaleCrop>
  <LinksUpToDate>false</LinksUpToDate>
  <CharactersWithSpaces>7327</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2020-07-13T00:13:00Z</dcterms:created>
  <dc:creator>Administrator</dc:creator>
  <cp:lastModifiedBy>user</cp:lastModifiedBy>
  <cp:lastPrinted>2024-08-06T00:17:00Z</cp:lastPrinted>
  <dcterms:modified xsi:type="dcterms:W3CDTF">2025-11-13T10:19:04Z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5764F7CB5A4D4C5689A812AF613EF008_13</vt:lpwstr>
  </property>
  <property fmtid="{D5CDD505-2E9C-101B-9397-08002B2CF9AE}" pid="4" name="KSOTemplateDocerSaveRecord">
    <vt:lpwstr>eyJoZGlkIjoiNGZkZDlkNjg5NWVkNWU2ZDNmZGZjYjczNjZmMTIwMmYiLCJ1c2VySWQiOiIzMjY5NjEzMjEifQ==</vt:lpwstr>
  </property>
</Properties>
</file>