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40"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drawing>
          <wp:anchor distT="0" distB="0" distL="114300" distR="114300" simplePos="0" relativeHeight="251659264" behindDoc="1" locked="0" layoutInCell="1" allowOverlap="1">
            <wp:simplePos x="0" y="0"/>
            <wp:positionH relativeFrom="column">
              <wp:posOffset>-66675</wp:posOffset>
            </wp:positionH>
            <wp:positionV relativeFrom="paragraph">
              <wp:posOffset>431165</wp:posOffset>
            </wp:positionV>
            <wp:extent cx="5604510" cy="2792730"/>
            <wp:effectExtent l="0" t="0" r="15240" b="7620"/>
            <wp:wrapNone/>
            <wp:docPr id="1" name="图片 2" descr="红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红头"/>
                    <pic:cNvPicPr>
                      <a:picLocks noChangeAspect="1"/>
                    </pic:cNvPicPr>
                  </pic:nvPicPr>
                  <pic:blipFill>
                    <a:blip r:embed="rId5"/>
                    <a:stretch>
                      <a:fillRect/>
                    </a:stretch>
                  </pic:blipFill>
                  <pic:spPr>
                    <a:xfrm>
                      <a:off x="0" y="0"/>
                      <a:ext cx="5604510" cy="2792730"/>
                    </a:xfrm>
                    <a:prstGeom prst="rect">
                      <a:avLst/>
                    </a:prstGeom>
                    <a:noFill/>
                    <a:ln>
                      <a:noFill/>
                    </a:ln>
                  </pic:spPr>
                </pic:pic>
              </a:graphicData>
            </a:graphic>
          </wp:anchor>
        </w:drawing>
      </w:r>
    </w:p>
    <w:p>
      <w:pPr>
        <w:spacing w:before="240" w:line="560" w:lineRule="exact"/>
        <w:rPr>
          <w:rFonts w:hint="eastAsia" w:ascii="仿宋_GB2312" w:hAnsi="仿宋_GB2312" w:eastAsia="仿宋_GB2312" w:cs="仿宋_GB2312"/>
          <w:sz w:val="32"/>
          <w:szCs w:val="32"/>
        </w:rPr>
      </w:pPr>
    </w:p>
    <w:p>
      <w:pPr>
        <w:spacing w:before="240" w:line="560" w:lineRule="exact"/>
        <w:rPr>
          <w:rFonts w:hint="eastAsia" w:ascii="仿宋_GB2312" w:hAnsi="仿宋_GB2312" w:eastAsia="仿宋_GB2312" w:cs="仿宋_GB2312"/>
          <w:sz w:val="32"/>
          <w:szCs w:val="32"/>
        </w:rPr>
      </w:pPr>
    </w:p>
    <w:p>
      <w:pPr>
        <w:spacing w:before="240" w:line="240" w:lineRule="auto"/>
        <w:rPr>
          <w:rFonts w:hint="eastAsia" w:ascii="仿宋_GB2312" w:hAnsi="仿宋_GB2312" w:eastAsia="仿宋_GB2312" w:cs="仿宋_GB2312"/>
          <w:sz w:val="32"/>
          <w:szCs w:val="32"/>
          <w:lang w:eastAsia="zh-CN"/>
        </w:rPr>
      </w:pPr>
    </w:p>
    <w:p>
      <w:pPr>
        <w:spacing w:before="240" w:line="560" w:lineRule="exact"/>
        <w:rPr>
          <w:rFonts w:hint="eastAsia" w:ascii="仿宋_GB2312" w:hAnsi="仿宋_GB2312" w:eastAsia="仿宋_GB2312" w:cs="仿宋_GB2312"/>
          <w:sz w:val="32"/>
          <w:szCs w:val="32"/>
        </w:rPr>
      </w:pPr>
    </w:p>
    <w:p>
      <w:pPr>
        <w:spacing w:before="240" w:line="560" w:lineRule="exact"/>
        <w:ind w:firstLine="2880" w:firstLineChars="900"/>
        <w:jc w:val="both"/>
        <w:rPr>
          <w:rFonts w:hint="default" w:ascii="新宋体" w:hAnsi="新宋体" w:eastAsia="仿宋_GB2312"/>
          <w:b/>
          <w:szCs w:val="21"/>
          <w:lang w:val="en-US" w:eastAsia="zh-CN"/>
        </w:rPr>
      </w:pPr>
      <w:r>
        <w:rPr>
          <w:rFonts w:hint="eastAsia" w:ascii="仿宋_GB2312" w:hAnsi="仿宋_GB2312" w:eastAsia="仿宋_GB2312" w:cs="仿宋_GB2312"/>
          <w:sz w:val="32"/>
          <w:szCs w:val="32"/>
        </w:rPr>
        <w:t>黑疾控</w:t>
      </w:r>
      <w:r>
        <w:rPr>
          <w:rFonts w:hint="eastAsia" w:ascii="仿宋_GB2312" w:hAnsi="华文中宋" w:eastAsia="仿宋_GB2312"/>
          <w:sz w:val="32"/>
        </w:rPr>
        <w:t>〔</w:t>
      </w:r>
      <w:r>
        <w:rPr>
          <w:rFonts w:hint="eastAsia" w:ascii="仿宋_GB2312" w:hAnsi="华文中宋" w:eastAsia="仿宋_GB2312"/>
          <w:sz w:val="32"/>
          <w:lang w:val="en-US" w:eastAsia="zh-CN"/>
        </w:rPr>
        <w:t>2025</w:t>
      </w:r>
      <w:r>
        <w:rPr>
          <w:rFonts w:ascii="仿宋_GB2312" w:hAnsi="华文中宋" w:eastAsia="仿宋_GB2312"/>
          <w:sz w:val="32"/>
        </w:rPr>
        <w:t>〕</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号</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黑水县疾病预防控制中心</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医疗服务与保障能力提升（疾控机构能力建设）专项预算项目绩效评价报告</w:t>
      </w:r>
    </w:p>
    <w:p>
      <w:pPr>
        <w:pStyle w:val="22"/>
        <w:keepNext w:val="0"/>
        <w:keepLines w:val="0"/>
        <w:pageBreakBefore w:val="0"/>
        <w:widowControl w:val="0"/>
        <w:kinsoku/>
        <w:wordWrap/>
        <w:overflowPunct/>
        <w:topLinePunct w:val="0"/>
        <w:autoSpaceDE/>
        <w:autoSpaceDN/>
        <w:bidi w:val="0"/>
        <w:spacing w:line="560"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黑体" w:hAnsi="宋体" w:eastAsia="黑体"/>
          <w:sz w:val="32"/>
          <w:szCs w:val="32"/>
          <w:highlight w:val="none"/>
          <w:lang w:val="zh-CN"/>
        </w:rPr>
      </w:pPr>
      <w:r>
        <w:rPr>
          <w:rFonts w:hint="eastAsia" w:ascii="黑体" w:hAnsi="宋体" w:eastAsia="黑体"/>
          <w:sz w:val="32"/>
          <w:szCs w:val="32"/>
          <w:highlight w:val="none"/>
        </w:rPr>
        <w:t>一、</w:t>
      </w:r>
      <w:r>
        <w:rPr>
          <w:rFonts w:hint="eastAsia" w:ascii="黑体" w:hAnsi="宋体" w:eastAsia="黑体"/>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rPr>
          <w:rFonts w:hint="default" w:eastAsia="宋体"/>
          <w:lang w:val="en-US" w:eastAsia="zh-CN"/>
        </w:rPr>
      </w:pPr>
      <w:r>
        <w:rPr>
          <w:rFonts w:ascii="仿宋_GB2312" w:hAnsi="仿宋_GB2312" w:eastAsia="仿宋_GB2312" w:cs="仿宋_GB2312"/>
          <w:color w:val="000000"/>
          <w:kern w:val="0"/>
          <w:sz w:val="32"/>
          <w:szCs w:val="32"/>
          <w:lang w:val="en-US" w:eastAsia="zh-CN" w:bidi="ar"/>
        </w:rPr>
        <w:t xml:space="preserve">按照《四川省财政厅 四川省卫生健康委员会关于下达 </w:t>
      </w:r>
      <w:r>
        <w:rPr>
          <w:rFonts w:hint="default" w:ascii="仿宋_GB2312" w:hAnsi="仿宋_GB2312" w:eastAsia="仿宋_GB2312" w:cs="仿宋_GB2312"/>
          <w:color w:val="000000"/>
          <w:kern w:val="0"/>
          <w:sz w:val="32"/>
          <w:szCs w:val="32"/>
          <w:lang w:val="en-US" w:eastAsia="zh-CN" w:bidi="ar"/>
        </w:rPr>
        <w:t>2023</w:t>
      </w:r>
      <w:r>
        <w:rPr>
          <w:rFonts w:ascii="仿宋_GB2312" w:hAnsi="仿宋_GB2312" w:eastAsia="仿宋_GB2312" w:cs="仿宋_GB2312"/>
          <w:color w:val="000000"/>
          <w:kern w:val="0"/>
          <w:sz w:val="32"/>
          <w:szCs w:val="32"/>
          <w:lang w:val="en-US" w:eastAsia="zh-CN" w:bidi="ar"/>
        </w:rPr>
        <w:t>年医疗服务与保障能力提升（疾控机构能力建设）省级补助资金的通知》（川财社〔</w:t>
      </w:r>
      <w:r>
        <w:rPr>
          <w:rFonts w:hint="default" w:ascii="仿宋_GB2312" w:hAnsi="仿宋_GB2312" w:eastAsia="仿宋_GB2312" w:cs="仿宋_GB2312"/>
          <w:color w:val="000000"/>
          <w:kern w:val="0"/>
          <w:sz w:val="32"/>
          <w:szCs w:val="32"/>
          <w:lang w:val="en-US" w:eastAsia="zh-CN" w:bidi="ar"/>
        </w:rPr>
        <w:t>2023</w:t>
      </w:r>
      <w:r>
        <w:rPr>
          <w:rFonts w:ascii="仿宋_GB2312" w:hAnsi="仿宋_GB2312" w:eastAsia="仿宋_GB2312" w:cs="仿宋_GB2312"/>
          <w:color w:val="000000"/>
          <w:kern w:val="0"/>
          <w:sz w:val="32"/>
          <w:szCs w:val="32"/>
          <w:lang w:val="en-US" w:eastAsia="zh-CN" w:bidi="ar"/>
        </w:rPr>
        <w:t>〕</w:t>
      </w:r>
      <w:r>
        <w:rPr>
          <w:rFonts w:hint="default" w:ascii="仿宋_GB2312" w:hAnsi="仿宋_GB2312" w:eastAsia="仿宋_GB2312" w:cs="仿宋_GB2312"/>
          <w:color w:val="000000"/>
          <w:kern w:val="0"/>
          <w:sz w:val="32"/>
          <w:szCs w:val="32"/>
          <w:lang w:val="en-US" w:eastAsia="zh-CN" w:bidi="ar"/>
        </w:rPr>
        <w:t xml:space="preserve">142 </w:t>
      </w:r>
      <w:r>
        <w:rPr>
          <w:rFonts w:ascii="仿宋_GB2312" w:hAnsi="仿宋_GB2312" w:eastAsia="仿宋_GB2312" w:cs="仿宋_GB2312"/>
          <w:color w:val="000000"/>
          <w:kern w:val="0"/>
          <w:sz w:val="32"/>
          <w:szCs w:val="32"/>
          <w:lang w:val="en-US" w:eastAsia="zh-CN" w:bidi="ar"/>
        </w:rPr>
        <w:t>号）要求</w:t>
      </w:r>
      <w:r>
        <w:rPr>
          <w:rFonts w:hint="eastAsia" w:ascii="仿宋_GB2312" w:hAnsi="仿宋_GB2312" w:cs="仿宋_GB2312"/>
          <w:color w:val="000000"/>
          <w:kern w:val="0"/>
          <w:sz w:val="32"/>
          <w:szCs w:val="32"/>
          <w:lang w:val="en-US" w:eastAsia="zh-CN" w:bidi="ar"/>
        </w:rPr>
        <w:t>，提升县疾控中心检验科检测能力，进一步健全公共卫生体系，下达我中心250万元用于县级疾病预防控制机构提升检验能力。黑疾控</w:t>
      </w:r>
      <w:r>
        <w:rPr>
          <w:rFonts w:ascii="仿宋_GB2312" w:hAnsi="仿宋_GB2312" w:eastAsia="仿宋_GB2312" w:cs="仿宋_GB2312"/>
          <w:color w:val="000000"/>
          <w:kern w:val="0"/>
          <w:sz w:val="32"/>
          <w:szCs w:val="32"/>
          <w:lang w:val="en-US" w:eastAsia="zh-CN" w:bidi="ar"/>
        </w:rPr>
        <w:t>〔</w:t>
      </w:r>
      <w:r>
        <w:rPr>
          <w:rFonts w:hint="default" w:ascii="仿宋_GB2312" w:hAnsi="仿宋_GB2312" w:eastAsia="仿宋_GB2312" w:cs="仿宋_GB2312"/>
          <w:color w:val="000000"/>
          <w:kern w:val="0"/>
          <w:sz w:val="32"/>
          <w:szCs w:val="32"/>
          <w:lang w:val="en-US" w:eastAsia="zh-CN" w:bidi="ar"/>
        </w:rPr>
        <w:t>202</w:t>
      </w:r>
      <w:r>
        <w:rPr>
          <w:rFonts w:hint="eastAsia" w:ascii="仿宋_GB2312" w:hAnsi="仿宋_GB2312" w:eastAsia="仿宋_GB2312" w:cs="仿宋_GB2312"/>
          <w:color w:val="000000"/>
          <w:kern w:val="0"/>
          <w:sz w:val="32"/>
          <w:szCs w:val="32"/>
          <w:lang w:val="en-US" w:eastAsia="zh-CN" w:bidi="ar"/>
        </w:rPr>
        <w:t>4</w:t>
      </w:r>
      <w:r>
        <w:rPr>
          <w:rFonts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color w:val="000000"/>
          <w:kern w:val="0"/>
          <w:sz w:val="32"/>
          <w:szCs w:val="32"/>
          <w:lang w:val="en-US" w:eastAsia="zh-CN" w:bidi="ar"/>
        </w:rPr>
        <w:t>24号文件上缴阿州财社</w:t>
      </w:r>
      <w:r>
        <w:rPr>
          <w:rFonts w:ascii="仿宋_GB2312" w:hAnsi="仿宋_GB2312" w:eastAsia="仿宋_GB2312" w:cs="仿宋_GB2312"/>
          <w:color w:val="000000"/>
          <w:kern w:val="0"/>
          <w:sz w:val="32"/>
          <w:szCs w:val="32"/>
          <w:lang w:val="en-US" w:eastAsia="zh-CN" w:bidi="ar"/>
        </w:rPr>
        <w:t>〔</w:t>
      </w:r>
      <w:r>
        <w:rPr>
          <w:rFonts w:hint="default" w:ascii="仿宋_GB2312" w:hAnsi="仿宋_GB2312" w:eastAsia="仿宋_GB2312" w:cs="仿宋_GB2312"/>
          <w:color w:val="000000"/>
          <w:kern w:val="0"/>
          <w:sz w:val="32"/>
          <w:szCs w:val="32"/>
          <w:lang w:val="en-US" w:eastAsia="zh-CN" w:bidi="ar"/>
        </w:rPr>
        <w:t>202</w:t>
      </w:r>
      <w:r>
        <w:rPr>
          <w:rFonts w:hint="eastAsia" w:ascii="仿宋_GB2312" w:hAnsi="仿宋_GB2312" w:eastAsia="仿宋_GB2312" w:cs="仿宋_GB2312"/>
          <w:color w:val="000000"/>
          <w:kern w:val="0"/>
          <w:sz w:val="32"/>
          <w:szCs w:val="32"/>
          <w:lang w:val="en-US" w:eastAsia="zh-CN" w:bidi="ar"/>
        </w:rPr>
        <w:t>3</w:t>
      </w:r>
      <w:r>
        <w:rPr>
          <w:rFonts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color w:val="000000"/>
          <w:kern w:val="0"/>
          <w:sz w:val="32"/>
          <w:szCs w:val="32"/>
          <w:lang w:val="en-US" w:eastAsia="zh-CN" w:bidi="ar"/>
        </w:rPr>
        <w:t>126号净结余资金10万元，财政安排10万元用于支付疾控机构能力建设勘察费及审计费。</w:t>
      </w:r>
    </w:p>
    <w:p>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2" w:firstLineChars="200"/>
        <w:textAlignment w:val="auto"/>
        <w:rPr>
          <w:rFonts w:hint="default"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p>
    <w:p>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补充完善县级疾控机构履行核心职能职责所需的实验室仪器设备配置缺口，更新升级陈旧落后仪器设备，提升县级疾控机构检验检测能力，改善疾控办公环境。</w:t>
      </w:r>
    </w:p>
    <w:p>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default"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预算安排及分配管理</w:t>
      </w:r>
    </w:p>
    <w:p>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资金下达依据：《阿坝州财政局 阿坝州卫生健康委员会关于下达2023年医疗服务与保障能力提升（疾控机构能力建设）省级补助资金的通知》阿州财社（2023）154号资金250万元。</w:t>
      </w:r>
      <w:r>
        <w:rPr>
          <w:rFonts w:hint="eastAsia" w:ascii="仿宋_GB2312" w:hAnsi="仿宋_GB2312" w:cs="仿宋_GB2312"/>
          <w:color w:val="000000"/>
          <w:kern w:val="0"/>
          <w:sz w:val="32"/>
          <w:szCs w:val="32"/>
          <w:lang w:val="en-US" w:eastAsia="zh-CN" w:bidi="ar"/>
        </w:rPr>
        <w:t>黑疾控</w:t>
      </w:r>
      <w:r>
        <w:rPr>
          <w:rFonts w:ascii="仿宋_GB2312" w:hAnsi="仿宋_GB2312" w:eastAsia="仿宋_GB2312" w:cs="仿宋_GB2312"/>
          <w:color w:val="000000"/>
          <w:kern w:val="0"/>
          <w:sz w:val="32"/>
          <w:szCs w:val="32"/>
          <w:lang w:val="en-US" w:eastAsia="zh-CN" w:bidi="ar"/>
        </w:rPr>
        <w:t>〔</w:t>
      </w:r>
      <w:r>
        <w:rPr>
          <w:rFonts w:hint="default" w:ascii="仿宋_GB2312" w:hAnsi="仿宋_GB2312" w:eastAsia="仿宋_GB2312" w:cs="仿宋_GB2312"/>
          <w:color w:val="000000"/>
          <w:kern w:val="0"/>
          <w:sz w:val="32"/>
          <w:szCs w:val="32"/>
          <w:lang w:val="en-US" w:eastAsia="zh-CN" w:bidi="ar"/>
        </w:rPr>
        <w:t>202</w:t>
      </w:r>
      <w:r>
        <w:rPr>
          <w:rFonts w:hint="eastAsia" w:ascii="仿宋_GB2312" w:hAnsi="仿宋_GB2312" w:eastAsia="仿宋_GB2312" w:cs="仿宋_GB2312"/>
          <w:color w:val="000000"/>
          <w:kern w:val="0"/>
          <w:sz w:val="32"/>
          <w:szCs w:val="32"/>
          <w:lang w:val="en-US" w:eastAsia="zh-CN" w:bidi="ar"/>
        </w:rPr>
        <w:t>4</w:t>
      </w:r>
      <w:r>
        <w:rPr>
          <w:rFonts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color w:val="000000"/>
          <w:kern w:val="0"/>
          <w:sz w:val="32"/>
          <w:szCs w:val="32"/>
          <w:lang w:val="en-US" w:eastAsia="zh-CN" w:bidi="ar"/>
        </w:rPr>
        <w:t>24号文件上缴阿州财社</w:t>
      </w:r>
      <w:r>
        <w:rPr>
          <w:rFonts w:ascii="仿宋_GB2312" w:hAnsi="仿宋_GB2312" w:eastAsia="仿宋_GB2312" w:cs="仿宋_GB2312"/>
          <w:color w:val="000000"/>
          <w:kern w:val="0"/>
          <w:sz w:val="32"/>
          <w:szCs w:val="32"/>
          <w:lang w:val="en-US" w:eastAsia="zh-CN" w:bidi="ar"/>
        </w:rPr>
        <w:t>〔</w:t>
      </w:r>
      <w:r>
        <w:rPr>
          <w:rFonts w:hint="default" w:ascii="仿宋_GB2312" w:hAnsi="仿宋_GB2312" w:eastAsia="仿宋_GB2312" w:cs="仿宋_GB2312"/>
          <w:color w:val="000000"/>
          <w:kern w:val="0"/>
          <w:sz w:val="32"/>
          <w:szCs w:val="32"/>
          <w:lang w:val="en-US" w:eastAsia="zh-CN" w:bidi="ar"/>
        </w:rPr>
        <w:t>202</w:t>
      </w:r>
      <w:r>
        <w:rPr>
          <w:rFonts w:hint="eastAsia" w:ascii="仿宋_GB2312" w:hAnsi="仿宋_GB2312" w:eastAsia="仿宋_GB2312" w:cs="仿宋_GB2312"/>
          <w:color w:val="000000"/>
          <w:kern w:val="0"/>
          <w:sz w:val="32"/>
          <w:szCs w:val="32"/>
          <w:lang w:val="en-US" w:eastAsia="zh-CN" w:bidi="ar"/>
        </w:rPr>
        <w:t>3</w:t>
      </w:r>
      <w:r>
        <w:rPr>
          <w:rFonts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color w:val="000000"/>
          <w:kern w:val="0"/>
          <w:sz w:val="32"/>
          <w:szCs w:val="32"/>
          <w:lang w:val="en-US" w:eastAsia="zh-CN" w:bidi="ar"/>
        </w:rPr>
        <w:t>126号净结余资金10万元，财政安排10万元用于支付疾控机构能力建设勘察费及审计费。</w:t>
      </w:r>
    </w:p>
    <w:p>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rPr>
          <w:rFonts w:hint="eastAsia" w:ascii="仿宋_GB2312" w:hAnsi="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000000"/>
          <w:kern w:val="0"/>
          <w:sz w:val="32"/>
          <w:szCs w:val="32"/>
          <w:lang w:val="en-US" w:eastAsia="zh-CN" w:bidi="ar"/>
        </w:rPr>
        <w:t xml:space="preserve">项目开展实施方案依据:《关于印发四川省 2023 年省级补助资金疾控机构能力建设项目实施方案的通知》（川卫办疾控便函〔2023〕138 号）。 </w:t>
      </w:r>
      <w:r>
        <w:rPr>
          <w:rFonts w:hint="eastAsia" w:ascii="仿宋_GB2312" w:hAnsi="仿宋_GB2312" w:eastAsia="仿宋_GB2312" w:cs="仿宋_GB2312"/>
          <w:color w:val="auto"/>
          <w:kern w:val="0"/>
          <w:sz w:val="32"/>
          <w:szCs w:val="32"/>
          <w:highlight w:val="none"/>
          <w:u w:val="none"/>
          <w:shd w:val="clear" w:color="auto" w:fill="FFFFFF"/>
          <w:lang w:val="en-US" w:eastAsia="zh-CN"/>
        </w:rPr>
        <w:t xml:space="preserve">    </w:t>
      </w:r>
      <w:r>
        <w:rPr>
          <w:rFonts w:hint="eastAsia" w:ascii="仿宋_GB2312" w:hAnsi="仿宋_GB2312" w:cs="仿宋_GB2312"/>
          <w:color w:val="auto"/>
          <w:kern w:val="0"/>
          <w:sz w:val="32"/>
          <w:szCs w:val="32"/>
          <w:highlight w:val="none"/>
          <w:u w:val="none"/>
          <w:shd w:val="clear" w:color="auto" w:fill="FFFFFF"/>
          <w:lang w:val="en-US" w:eastAsia="zh-CN"/>
        </w:rPr>
        <w:t xml:space="preserve">    </w:t>
      </w:r>
    </w:p>
    <w:p>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2024年度，我中心下达疾控机构能力建设项目资金共计260万元，截至2024年12月31日，完成列支资金共计259.89万元，资金执行率达99.57%。</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数量指标：项目覆盖疾控机构配置仪器数量</w:t>
      </w:r>
      <w:r>
        <w:rPr>
          <w:rStyle w:val="18"/>
          <w:rFonts w:hint="eastAsia" w:ascii="仿宋_GB2312" w:hAnsi="仿宋_GB2312" w:eastAsia="仿宋_GB2312" w:cs="仿宋_GB2312"/>
          <w:color w:val="auto"/>
          <w:sz w:val="32"/>
          <w:szCs w:val="32"/>
        </w:rPr>
        <w:t>≥</w:t>
      </w:r>
      <w:r>
        <w:rPr>
          <w:rStyle w:val="18"/>
          <w:rFonts w:hint="eastAsia" w:ascii="仿宋_GB2312" w:hAnsi="仿宋_GB2312" w:eastAsia="仿宋_GB2312" w:cs="仿宋_GB2312"/>
          <w:color w:val="auto"/>
          <w:sz w:val="32"/>
          <w:szCs w:val="32"/>
          <w:lang w:val="en-US" w:eastAsia="zh-CN"/>
        </w:rPr>
        <w:t>5台。</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时效指标：项目周期≤1年。</w:t>
      </w:r>
    </w:p>
    <w:p>
      <w:pPr>
        <w:keepNext w:val="0"/>
        <w:keepLines w:val="0"/>
        <w:pageBreakBefore w:val="0"/>
        <w:kinsoku/>
        <w:wordWrap/>
        <w:overflowPunct/>
        <w:topLinePunct w:val="0"/>
        <w:autoSpaceDE/>
        <w:autoSpaceDN/>
        <w:bidi w:val="0"/>
        <w:spacing w:line="560" w:lineRule="exact"/>
        <w:ind w:firstLine="640" w:firstLineChars="200"/>
        <w:textAlignment w:val="auto"/>
        <w:rPr>
          <w:rStyle w:val="18"/>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sz w:val="32"/>
          <w:szCs w:val="32"/>
          <w:lang w:val="en-US" w:eastAsia="zh-CN"/>
        </w:rPr>
        <w:t>质量指标：</w:t>
      </w:r>
      <w:r>
        <w:rPr>
          <w:rStyle w:val="18"/>
          <w:rFonts w:hint="eastAsia" w:ascii="仿宋_GB2312" w:hAnsi="仿宋_GB2312" w:eastAsia="仿宋_GB2312" w:cs="仿宋_GB2312"/>
          <w:color w:val="auto"/>
          <w:sz w:val="32"/>
          <w:szCs w:val="32"/>
          <w:lang w:eastAsia="zh-CN"/>
        </w:rPr>
        <w:t>疾控机构检验</w:t>
      </w:r>
      <w:r>
        <w:rPr>
          <w:rStyle w:val="18"/>
          <w:rFonts w:hint="eastAsia" w:ascii="仿宋_GB2312" w:hAnsi="仿宋_GB2312" w:eastAsia="仿宋_GB2312" w:cs="仿宋_GB2312"/>
          <w:color w:val="auto"/>
          <w:sz w:val="32"/>
          <w:szCs w:val="32"/>
        </w:rPr>
        <w:t>能力</w:t>
      </w:r>
      <w:r>
        <w:rPr>
          <w:rStyle w:val="18"/>
          <w:rFonts w:hint="eastAsia" w:ascii="仿宋_GB2312" w:hAnsi="仿宋_GB2312" w:eastAsia="仿宋_GB2312" w:cs="仿宋_GB2312"/>
          <w:color w:val="auto"/>
          <w:sz w:val="32"/>
          <w:szCs w:val="32"/>
          <w:lang w:eastAsia="zh-CN"/>
        </w:rPr>
        <w:t>及服务能力较上年提升。</w:t>
      </w:r>
    </w:p>
    <w:p>
      <w:pPr>
        <w:keepNext w:val="0"/>
        <w:keepLines w:val="0"/>
        <w:pageBreakBefore w:val="0"/>
        <w:kinsoku/>
        <w:wordWrap/>
        <w:overflowPunct/>
        <w:topLinePunct w:val="0"/>
        <w:autoSpaceDE/>
        <w:autoSpaceDN/>
        <w:bidi w:val="0"/>
        <w:spacing w:line="560" w:lineRule="exact"/>
        <w:ind w:firstLine="640" w:firstLineChars="200"/>
        <w:textAlignment w:val="auto"/>
        <w:rPr>
          <w:rStyle w:val="18"/>
          <w:rFonts w:hint="eastAsia" w:ascii="仿宋_GB2312" w:hAnsi="仿宋_GB2312" w:eastAsia="仿宋_GB2312" w:cs="仿宋_GB2312"/>
          <w:color w:val="auto"/>
          <w:sz w:val="32"/>
          <w:szCs w:val="32"/>
          <w:lang w:val="en-US" w:eastAsia="zh-CN"/>
        </w:rPr>
      </w:pPr>
      <w:r>
        <w:rPr>
          <w:rStyle w:val="18"/>
          <w:rFonts w:hint="eastAsia" w:ascii="仿宋_GB2312" w:hAnsi="仿宋_GB2312" w:eastAsia="仿宋_GB2312" w:cs="仿宋_GB2312"/>
          <w:color w:val="auto"/>
          <w:sz w:val="32"/>
          <w:szCs w:val="32"/>
          <w:lang w:eastAsia="zh-CN"/>
        </w:rPr>
        <w:t>效益指标：设备使用年限</w:t>
      </w:r>
      <w:r>
        <w:rPr>
          <w:rStyle w:val="18"/>
          <w:rFonts w:hint="eastAsia" w:ascii="仿宋_GB2312" w:hAnsi="仿宋_GB2312" w:eastAsia="仿宋_GB2312" w:cs="仿宋_GB2312"/>
          <w:color w:val="auto"/>
          <w:sz w:val="32"/>
          <w:szCs w:val="32"/>
        </w:rPr>
        <w:t>≥</w:t>
      </w:r>
      <w:r>
        <w:rPr>
          <w:rStyle w:val="18"/>
          <w:rFonts w:hint="eastAsia" w:ascii="仿宋_GB2312" w:hAnsi="仿宋_GB2312" w:eastAsia="仿宋_GB2312" w:cs="仿宋_GB2312"/>
          <w:color w:val="auto"/>
          <w:sz w:val="32"/>
          <w:szCs w:val="32"/>
          <w:lang w:val="en-US" w:eastAsia="zh-CN"/>
        </w:rPr>
        <w:t>5年。</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Style w:val="18"/>
          <w:rFonts w:hint="eastAsia" w:ascii="仿宋_GB2312" w:hAnsi="仿宋_GB2312" w:eastAsia="仿宋_GB2312" w:cs="仿宋_GB2312"/>
          <w:color w:val="auto"/>
          <w:sz w:val="32"/>
          <w:szCs w:val="32"/>
          <w:lang w:val="en-US" w:eastAsia="zh-CN"/>
        </w:rPr>
        <w:t>成本指标：项目成本控制率</w:t>
      </w:r>
      <w:r>
        <w:rPr>
          <w:rStyle w:val="18"/>
          <w:rFonts w:hint="eastAsia" w:ascii="仿宋_GB2312" w:hAnsi="仿宋_GB2312" w:eastAsia="仿宋_GB2312" w:cs="仿宋_GB2312"/>
          <w:color w:val="auto"/>
          <w:sz w:val="32"/>
          <w:szCs w:val="32"/>
        </w:rPr>
        <w:t>≥</w:t>
      </w:r>
      <w:r>
        <w:rPr>
          <w:rStyle w:val="18"/>
          <w:rFonts w:hint="eastAsia" w:ascii="仿宋_GB2312" w:hAnsi="仿宋_GB2312" w:eastAsia="仿宋_GB2312" w:cs="仿宋_GB2312"/>
          <w:color w:val="auto"/>
          <w:sz w:val="32"/>
          <w:szCs w:val="32"/>
          <w:lang w:val="en-US" w:eastAsia="zh-CN"/>
        </w:rPr>
        <w:t>100%。</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黑体" w:hAnsi="宋体" w:eastAsia="黑体"/>
          <w:sz w:val="32"/>
          <w:szCs w:val="32"/>
          <w:highlight w:val="none"/>
          <w:lang w:eastAsia="zh-CN"/>
        </w:rPr>
      </w:pPr>
      <w:r>
        <w:rPr>
          <w:rFonts w:hint="eastAsia" w:ascii="黑体" w:hAnsi="宋体" w:eastAsia="黑体"/>
          <w:sz w:val="32"/>
          <w:szCs w:val="32"/>
          <w:highlight w:val="none"/>
        </w:rPr>
        <w:t>二、</w:t>
      </w:r>
      <w:r>
        <w:rPr>
          <w:rFonts w:hint="eastAsia" w:ascii="黑体" w:hAnsi="宋体" w:eastAsia="黑体"/>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eastAsia="zh-CN"/>
        </w:rPr>
        <w:t>通过项目绩效自评，确定项目开展效果，项目开展内容是否达到上级部门下达的指标要求。</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预设问题及评价重点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按照绩效评价指标体系，中心从通用指标、专用指标及个性指标对项目开展了绩效评价工作。该项目资金支出使用全过程符合疾控机构检验能力提升项目资金实施方案要求，全部用于疾控机构检验项目</w:t>
      </w:r>
      <w:r>
        <w:rPr>
          <w:rFonts w:hint="eastAsia" w:ascii="仿宋_GB2312" w:hAnsi="仿宋_GB2312" w:eastAsia="仿宋_GB2312" w:cs="仿宋_GB2312"/>
          <w:sz w:val="32"/>
          <w:szCs w:val="32"/>
          <w:lang w:val="en-US" w:eastAsia="zh-CN"/>
        </w:rPr>
        <w:t>，实施效果与预计效果相符。</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评价选点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sz w:val="32"/>
          <w:szCs w:val="32"/>
          <w:lang w:val="zh-CN" w:eastAsia="zh-CN"/>
        </w:rPr>
        <w:t>项目绩效自评主要通过抽取</w:t>
      </w:r>
      <w:r>
        <w:rPr>
          <w:rFonts w:hint="eastAsia" w:ascii="仿宋_GB2312" w:hAnsi="仿宋_GB2312" w:eastAsia="仿宋_GB2312" w:cs="仿宋_GB2312"/>
          <w:sz w:val="32"/>
          <w:szCs w:val="32"/>
          <w:lang w:val="en-US" w:eastAsia="zh-CN"/>
        </w:rPr>
        <w:t>2024年资金拨付凭证来进行自评工作，通过核查中心拨付凭证，确定了项目资金的确用于疾控机构检验项目。</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评价方法</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由于该专项资金主要用于涉及民生保障，资金用途明确。我中心采用单位自评法、实地勘察法对项目进行自评工作。</w:t>
      </w:r>
    </w:p>
    <w:p>
      <w:pPr>
        <w:keepNext w:val="0"/>
        <w:keepLines w:val="0"/>
        <w:pageBreakBefore w:val="0"/>
        <w:widowControl w:val="0"/>
        <w:numPr>
          <w:ilvl w:val="0"/>
          <w:numId w:val="2"/>
        </w:numPr>
        <w:kinsoku/>
        <w:wordWrap/>
        <w:overflowPunct/>
        <w:topLinePunct w:val="0"/>
        <w:autoSpaceDE/>
        <w:autoSpaceDN/>
        <w:bidi w:val="0"/>
        <w:spacing w:line="560"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评价组织</w:t>
      </w:r>
    </w:p>
    <w:p>
      <w:pPr>
        <w:keepNext w:val="0"/>
        <w:keepLines w:val="0"/>
        <w:pageBreakBefore w:val="0"/>
        <w:widowControl w:val="0"/>
        <w:numPr>
          <w:ilvl w:val="0"/>
          <w:numId w:val="0"/>
        </w:numPr>
        <w:kinsoku/>
        <w:wordWrap/>
        <w:overflowPunct/>
        <w:topLinePunct w:val="0"/>
        <w:autoSpaceDE/>
        <w:autoSpaceDN/>
        <w:bidi w:val="0"/>
        <w:spacing w:line="560" w:lineRule="exact"/>
        <w:ind w:left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评价组人员构成如下：</w:t>
      </w:r>
    </w:p>
    <w:p>
      <w:pPr>
        <w:pStyle w:val="14"/>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组长：</w:t>
      </w:r>
      <w:r>
        <w:rPr>
          <w:rFonts w:hint="eastAsia" w:ascii="仿宋_GB2312" w:hAnsi="仿宋_GB2312" w:eastAsia="仿宋_GB2312" w:cs="仿宋_GB2312"/>
          <w:kern w:val="2"/>
          <w:sz w:val="32"/>
          <w:szCs w:val="32"/>
          <w:lang w:val="zh-CN" w:eastAsia="zh-CN" w:bidi="ar-SA"/>
        </w:rPr>
        <w:t>郭成慧</w:t>
      </w:r>
      <w:r>
        <w:rPr>
          <w:rFonts w:hint="eastAsia" w:ascii="仿宋_GB2312" w:hAnsi="仿宋_GB2312" w:eastAsia="仿宋_GB2312" w:cs="仿宋_GB2312"/>
          <w:kern w:val="2"/>
          <w:sz w:val="32"/>
          <w:szCs w:val="32"/>
          <w:lang w:val="en-US" w:eastAsia="zh-CN" w:bidi="ar-SA"/>
        </w:rPr>
        <w:t xml:space="preserve">  指导</w:t>
      </w:r>
      <w:r>
        <w:rPr>
          <w:rFonts w:hint="eastAsia" w:ascii="仿宋_GB2312" w:hAnsi="仿宋_GB2312" w:eastAsia="仿宋_GB2312" w:cs="仿宋_GB2312"/>
          <w:sz w:val="32"/>
          <w:szCs w:val="32"/>
          <w:lang w:val="en-US" w:eastAsia="zh-CN"/>
        </w:rPr>
        <w:t>中心主任 负责全面评价工作</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成员：</w:t>
      </w:r>
      <w:r>
        <w:rPr>
          <w:rFonts w:hint="eastAsia" w:ascii="仿宋_GB2312" w:hAnsi="仿宋_GB2312" w:eastAsia="仿宋_GB2312" w:cs="仿宋_GB2312"/>
          <w:kern w:val="2"/>
          <w:sz w:val="32"/>
          <w:szCs w:val="32"/>
          <w:lang w:val="en-US" w:eastAsia="zh-CN" w:bidi="ar-SA"/>
        </w:rPr>
        <w:t xml:space="preserve">桑基忠 </w:t>
      </w:r>
      <w:r>
        <w:rPr>
          <w:rFonts w:hint="eastAsia" w:ascii="仿宋_GB2312" w:hAnsi="仿宋_GB2312" w:eastAsia="仿宋_GB2312" w:cs="仿宋_GB2312"/>
          <w:sz w:val="32"/>
          <w:szCs w:val="32"/>
          <w:lang w:val="en-US" w:eastAsia="zh-CN"/>
        </w:rPr>
        <w:t xml:space="preserve"> 负责财务相关评价工作</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杨佳军  负责2024年评价总体相关评价工作</w:t>
      </w:r>
    </w:p>
    <w:p>
      <w:pPr>
        <w:pStyle w:val="14"/>
        <w:keepNext w:val="0"/>
        <w:keepLines w:val="0"/>
        <w:pageBreakBefore w:val="0"/>
        <w:kinsoku/>
        <w:wordWrap/>
        <w:overflowPunct/>
        <w:topLinePunct w:val="0"/>
        <w:autoSpaceDE/>
        <w:autoSpaceDN/>
        <w:bidi w:val="0"/>
        <w:spacing w:line="560" w:lineRule="exact"/>
        <w:ind w:left="0" w:leftChars="0" w:firstLine="1600" w:firstLineChars="5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余世美  负责2024年执行机构绩效评价工作</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outlineLvl w:val="9"/>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中心根据项目预算绩效评价指标体系“通用指标”“专用指标”“个性指标”三个方面对该项资金进行了全方位自评工作，具体情况如下：</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en-US" w:eastAsia="zh-CN"/>
        </w:rPr>
        <w:t>53分</w:t>
      </w:r>
      <w:r>
        <w:rPr>
          <w:rFonts w:hint="eastAsia" w:eastAsia="楷体_GB2312" w:cs="Times New Roman"/>
          <w:b/>
          <w:bCs/>
          <w:color w:val="000000"/>
          <w:kern w:val="0"/>
          <w:sz w:val="32"/>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项目决策</w:t>
      </w:r>
      <w:r>
        <w:rPr>
          <w:rFonts w:hint="eastAsia" w:ascii="仿宋_GB2312" w:hAnsi="仿宋_GB2312" w:eastAsia="仿宋_GB2312" w:cs="仿宋_GB2312"/>
          <w:color w:val="auto"/>
          <w:sz w:val="32"/>
          <w:szCs w:val="32"/>
          <w:lang w:val="en-US" w:eastAsia="zh-CN"/>
        </w:rPr>
        <w:t>(18分）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auto"/>
          <w:sz w:val="32"/>
          <w:szCs w:val="32"/>
          <w:lang w:eastAsia="zh-CN"/>
        </w:rPr>
        <w:t>决策程序（</w:t>
      </w:r>
      <w:r>
        <w:rPr>
          <w:rFonts w:hint="eastAsia" w:ascii="仿宋_GB2312" w:hAnsi="仿宋_GB2312" w:eastAsia="仿宋_GB2312" w:cs="仿宋_GB2312"/>
          <w:color w:val="auto"/>
          <w:sz w:val="32"/>
          <w:szCs w:val="32"/>
          <w:lang w:val="en-US" w:eastAsia="zh-CN"/>
        </w:rPr>
        <w:t>6分）</w:t>
      </w:r>
      <w:r>
        <w:rPr>
          <w:rFonts w:hint="eastAsia" w:ascii="仿宋_GB2312" w:hAnsi="仿宋_GB2312" w:eastAsia="仿宋_GB2312" w:cs="仿宋_GB2312"/>
          <w:color w:val="auto"/>
          <w:sz w:val="32"/>
          <w:szCs w:val="32"/>
          <w:lang w:eastAsia="zh-CN"/>
        </w:rPr>
        <w:t>：项目设立、调整延续等方面符合资金管理基本规范和决策程序要求。项目设立依据</w:t>
      </w:r>
      <w:r>
        <w:rPr>
          <w:rFonts w:hint="eastAsia" w:ascii="仿宋_GB2312" w:hAnsi="仿宋_GB2312" w:eastAsia="仿宋_GB2312" w:cs="仿宋_GB2312"/>
          <w:color w:val="000000"/>
          <w:kern w:val="0"/>
          <w:sz w:val="32"/>
          <w:szCs w:val="32"/>
          <w:lang w:val="en-US" w:eastAsia="zh-CN" w:bidi="ar"/>
        </w:rPr>
        <w:t>《四川省财政厅 四川省卫生健康委员会关于下达 2023年医疗服务与保障能力提升（疾控机构能力建设）省级补助资金的通知》（川财社〔2023〕142 号）、《阿坝州财政局 阿坝州卫生健康委员会关于下达2023年医疗服务与保障能力提升（疾控机构能力建设）省级补助资金的通知》阿州财社（2023）154号。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规划论证（</w:t>
      </w:r>
      <w:r>
        <w:rPr>
          <w:rFonts w:hint="eastAsia" w:ascii="仿宋_GB2312" w:hAnsi="仿宋_GB2312" w:eastAsia="仿宋_GB2312" w:cs="仿宋_GB2312"/>
          <w:color w:val="auto"/>
          <w:sz w:val="32"/>
          <w:szCs w:val="32"/>
          <w:lang w:val="en-US" w:eastAsia="zh-CN"/>
        </w:rPr>
        <w:t>6分）</w:t>
      </w:r>
      <w:r>
        <w:rPr>
          <w:rFonts w:hint="eastAsia" w:ascii="仿宋_GB2312" w:hAnsi="仿宋_GB2312" w:eastAsia="仿宋_GB2312" w:cs="仿宋_GB2312"/>
          <w:color w:val="auto"/>
          <w:sz w:val="32"/>
          <w:szCs w:val="32"/>
          <w:lang w:eastAsia="zh-CN"/>
        </w:rPr>
        <w:t>：项目规划符合</w:t>
      </w:r>
      <w:r>
        <w:rPr>
          <w:rFonts w:hint="eastAsia" w:ascii="仿宋_GB2312" w:hAnsi="仿宋_GB2312" w:eastAsia="仿宋_GB2312" w:cs="仿宋_GB2312"/>
          <w:color w:val="000000"/>
          <w:kern w:val="0"/>
          <w:sz w:val="32"/>
          <w:szCs w:val="32"/>
          <w:lang w:val="en-US" w:eastAsia="zh-CN" w:bidi="ar"/>
        </w:rPr>
        <w:t>（川财社〔2023〕142 号</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color w:val="000000"/>
          <w:kern w:val="0"/>
          <w:sz w:val="32"/>
          <w:szCs w:val="32"/>
          <w:lang w:val="en-US" w:eastAsia="zh-CN" w:bidi="ar"/>
        </w:rPr>
        <w:t>阿州财社（2023）154号</w:t>
      </w:r>
      <w:r>
        <w:rPr>
          <w:rFonts w:hint="eastAsia" w:ascii="仿宋_GB2312" w:hAnsi="仿宋_GB2312" w:eastAsia="仿宋_GB2312" w:cs="仿宋_GB2312"/>
          <w:b w:val="0"/>
          <w:bCs w:val="0"/>
          <w:color w:val="000000"/>
          <w:sz w:val="32"/>
          <w:szCs w:val="32"/>
          <w:lang w:eastAsia="zh-CN"/>
        </w:rPr>
        <w:t>文件要求</w:t>
      </w:r>
      <w:r>
        <w:rPr>
          <w:rFonts w:hint="eastAsia" w:ascii="仿宋_GB2312" w:hAnsi="仿宋_GB2312" w:eastAsia="仿宋_GB2312" w:cs="仿宋_GB2312"/>
          <w:color w:val="auto"/>
          <w:sz w:val="32"/>
          <w:szCs w:val="32"/>
          <w:lang w:eastAsia="zh-CN"/>
        </w:rPr>
        <w:t>；项目充分评估了论证项目立项必要性、前瞻性、合理性和可行性；项目总体绩效目标设置合理性的偏离度≤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lang w:eastAsia="zh-CN"/>
        </w:rPr>
        <w:t>%；绩效目标科学合理、规范完整、量化细化、预算匹配。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资金投向（</w:t>
      </w:r>
      <w:r>
        <w:rPr>
          <w:rFonts w:hint="eastAsia" w:ascii="仿宋_GB2312" w:hAnsi="仿宋_GB2312" w:eastAsia="仿宋_GB2312" w:cs="仿宋_GB2312"/>
          <w:color w:val="auto"/>
          <w:sz w:val="32"/>
          <w:szCs w:val="32"/>
          <w:lang w:val="en-US" w:eastAsia="zh-CN"/>
        </w:rPr>
        <w:t>6分）：该项目</w:t>
      </w:r>
      <w:r>
        <w:rPr>
          <w:rFonts w:hint="eastAsia" w:ascii="仿宋_GB2312" w:hAnsi="仿宋_GB2312" w:eastAsia="仿宋_GB2312" w:cs="仿宋_GB2312"/>
          <w:color w:val="auto"/>
          <w:sz w:val="32"/>
          <w:szCs w:val="32"/>
          <w:lang w:eastAsia="zh-CN"/>
        </w:rPr>
        <w:t>属于政府支持范围，且符合财政事权支出责任划分规定；资金投向与项目总体规划、相关行业事业发展相匹配；聚焦重大任务、重点领域、重点环节和重点项目，体现“集中力量</w:t>
      </w:r>
      <w:bookmarkStart w:id="0" w:name="_GoBack"/>
      <w:bookmarkEnd w:id="0"/>
      <w:r>
        <w:rPr>
          <w:rFonts w:hint="eastAsia" w:ascii="仿宋_GB2312" w:hAnsi="仿宋_GB2312" w:eastAsia="仿宋_GB2312" w:cs="仿宋_GB2312"/>
          <w:color w:val="auto"/>
          <w:sz w:val="32"/>
          <w:szCs w:val="32"/>
          <w:lang w:eastAsia="zh-CN"/>
        </w:rPr>
        <w:t>办大事”原则；未与其他同类项目或部门内部相关项目交叉重复。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项目管理</w:t>
      </w:r>
      <w:r>
        <w:rPr>
          <w:rFonts w:hint="eastAsia" w:ascii="仿宋_GB2312" w:hAnsi="仿宋_GB2312" w:eastAsia="仿宋_GB2312" w:cs="仿宋_GB2312"/>
          <w:color w:val="auto"/>
          <w:sz w:val="32"/>
          <w:szCs w:val="32"/>
          <w:lang w:val="en-US" w:eastAsia="zh-CN"/>
        </w:rPr>
        <w:t xml:space="preserve"> （17分）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制度办法（</w:t>
      </w:r>
      <w:r>
        <w:rPr>
          <w:rFonts w:hint="eastAsia" w:ascii="仿宋_GB2312" w:hAnsi="仿宋_GB2312" w:eastAsia="仿宋_GB2312" w:cs="仿宋_GB2312"/>
          <w:color w:val="auto"/>
          <w:sz w:val="32"/>
          <w:szCs w:val="32"/>
          <w:lang w:val="en-US" w:eastAsia="zh-CN"/>
        </w:rPr>
        <w:t>1分</w:t>
      </w:r>
      <w:r>
        <w:rPr>
          <w:rFonts w:hint="eastAsia" w:ascii="仿宋_GB2312" w:hAnsi="仿宋_GB2312" w:eastAsia="仿宋_GB2312" w:cs="仿宋_GB2312"/>
          <w:color w:val="auto"/>
          <w:sz w:val="32"/>
          <w:szCs w:val="32"/>
          <w:lang w:eastAsia="zh-CN"/>
        </w:rPr>
        <w:t>）：因上级项目资金使用方案已明确规定购买设备名称，单位未制定资金使用计划，资金管理办法等管理制度体系仍需进一步完善。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分配管理（</w:t>
      </w:r>
      <w:r>
        <w:rPr>
          <w:rFonts w:hint="eastAsia" w:ascii="仿宋_GB2312" w:hAnsi="仿宋_GB2312" w:eastAsia="仿宋_GB2312" w:cs="仿宋_GB2312"/>
          <w:color w:val="auto"/>
          <w:sz w:val="32"/>
          <w:szCs w:val="32"/>
          <w:lang w:val="en-US" w:eastAsia="zh-CN"/>
        </w:rPr>
        <w:t>10分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）因素分配法：资金分配因素选取充分考虑相关行业事业发展实际和发展需求；资金分配因素的权重设置有效突出项目实施重点；资金区域分布结果公平合理。（</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）项目分配法：预算管理一体化有项目库；实行入库项目动态管理，按月、按季度开展动态监控；明确项目申报审核程序，按规定程序履行项目审批，项目申报符合州级要求。（</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）其他分配法：资金分配依据充分合理。资金分配严格按管理办法执行，决策程序符合管理要求，及时高效。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绩效监管（</w:t>
      </w:r>
      <w:r>
        <w:rPr>
          <w:rFonts w:hint="eastAsia" w:ascii="仿宋_GB2312" w:hAnsi="仿宋_GB2312" w:eastAsia="仿宋_GB2312" w:cs="仿宋_GB2312"/>
          <w:color w:val="auto"/>
          <w:sz w:val="32"/>
          <w:szCs w:val="32"/>
          <w:lang w:val="en-US" w:eastAsia="zh-CN"/>
        </w:rPr>
        <w:t>6分</w:t>
      </w:r>
      <w:r>
        <w:rPr>
          <w:rFonts w:hint="eastAsia" w:ascii="仿宋_GB2312" w:hAnsi="仿宋_GB2312" w:eastAsia="仿宋_GB2312" w:cs="仿宋_GB2312"/>
          <w:color w:val="auto"/>
          <w:sz w:val="32"/>
          <w:szCs w:val="32"/>
          <w:lang w:eastAsia="zh-CN"/>
        </w:rPr>
        <w:t>）：项目按省、州要求全面完成绩效目标（含事前评估）、绩效评价、以前年度问题整改等预算绩效管理工作；省级部门对市县主管部门预算绩效管理要求到位，州、县资金分配和项目管理指导力度充足。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3.项目实施（9分）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预算</w:t>
      </w:r>
      <w:r>
        <w:rPr>
          <w:rFonts w:hint="eastAsia" w:ascii="仿宋_GB2312" w:hAnsi="仿宋_GB2312" w:eastAsia="仿宋_GB2312" w:cs="仿宋_GB2312"/>
          <w:color w:val="auto"/>
          <w:sz w:val="32"/>
          <w:szCs w:val="32"/>
          <w:lang w:val="zh-CN" w:eastAsia="zh-CN"/>
        </w:rPr>
        <w:t>执行（</w:t>
      </w:r>
      <w:r>
        <w:rPr>
          <w:rFonts w:hint="eastAsia" w:ascii="仿宋_GB2312" w:hAnsi="仿宋_GB2312" w:eastAsia="仿宋_GB2312" w:cs="仿宋_GB2312"/>
          <w:color w:val="auto"/>
          <w:sz w:val="32"/>
          <w:szCs w:val="32"/>
          <w:lang w:val="en-US" w:eastAsia="zh-CN"/>
        </w:rPr>
        <w:t>6分</w:t>
      </w:r>
      <w:r>
        <w:rPr>
          <w:rFonts w:hint="eastAsia" w:ascii="仿宋_GB2312" w:hAnsi="仿宋_GB2312" w:eastAsia="仿宋_GB2312" w:cs="仿宋_GB2312"/>
          <w:color w:val="auto"/>
          <w:sz w:val="32"/>
          <w:szCs w:val="32"/>
          <w:lang w:val="zh-CN" w:eastAsia="zh-CN"/>
        </w:rPr>
        <w:t>）：该项指标得分=</w:t>
      </w:r>
      <w:r>
        <w:rPr>
          <w:rFonts w:hint="eastAsia" w:ascii="仿宋_GB2312" w:hAnsi="仿宋_GB2312" w:eastAsia="仿宋_GB2312" w:cs="仿宋_GB2312"/>
          <w:color w:val="auto"/>
          <w:sz w:val="32"/>
          <w:szCs w:val="32"/>
          <w:lang w:val="en-US" w:eastAsia="zh-CN"/>
        </w:rPr>
        <w:t>财政资金拨付率×100%×2+单位资金使用率×100%×2+地方资金到位率×100%×2=100%</w:t>
      </w:r>
      <w:r>
        <w:rPr>
          <w:rFonts w:hint="eastAsia" w:ascii="仿宋_GB2312" w:hAnsi="仿宋_GB2312" w:eastAsia="仿宋_GB2312" w:cs="仿宋_GB2312"/>
          <w:color w:val="auto"/>
          <w:sz w:val="32"/>
          <w:szCs w:val="32"/>
          <w:lang w:val="zh-CN" w:eastAsia="zh-CN"/>
        </w:rPr>
        <w:t>×100%×2+</w:t>
      </w:r>
      <w:r>
        <w:rPr>
          <w:rFonts w:hint="eastAsia" w:ascii="仿宋_GB2312" w:hAnsi="仿宋_GB2312" w:eastAsia="仿宋_GB2312" w:cs="仿宋_GB2312"/>
          <w:color w:val="auto"/>
          <w:sz w:val="32"/>
          <w:szCs w:val="32"/>
          <w:lang w:val="en-US" w:eastAsia="zh-CN"/>
        </w:rPr>
        <w:t>99.96%</w:t>
      </w:r>
      <w:r>
        <w:rPr>
          <w:rFonts w:hint="eastAsia" w:ascii="仿宋_GB2312" w:hAnsi="仿宋_GB2312" w:eastAsia="仿宋_GB2312" w:cs="仿宋_GB2312"/>
          <w:color w:val="auto"/>
          <w:sz w:val="32"/>
          <w:szCs w:val="32"/>
          <w:lang w:val="zh-CN" w:eastAsia="zh-CN"/>
        </w:rPr>
        <w:t>×</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lang w:val="zh-CN" w:eastAsia="zh-CN"/>
        </w:rPr>
        <w:t>%×2+</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lang w:val="zh-CN" w:eastAsia="zh-CN"/>
        </w:rPr>
        <w:t>×100%×2</w:t>
      </w:r>
      <w:r>
        <w:rPr>
          <w:rFonts w:hint="eastAsia" w:ascii="仿宋_GB2312" w:hAnsi="仿宋_GB2312" w:eastAsia="仿宋_GB2312" w:cs="仿宋_GB2312"/>
          <w:color w:val="auto"/>
          <w:sz w:val="32"/>
          <w:szCs w:val="32"/>
          <w:lang w:val="en-US" w:eastAsia="zh-CN"/>
        </w:rPr>
        <w:t>=6分。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资金使用（</w:t>
      </w:r>
      <w:r>
        <w:rPr>
          <w:rFonts w:hint="eastAsia" w:ascii="仿宋_GB2312" w:hAnsi="仿宋_GB2312" w:eastAsia="仿宋_GB2312" w:cs="仿宋_GB2312"/>
          <w:color w:val="auto"/>
          <w:sz w:val="32"/>
          <w:szCs w:val="32"/>
          <w:lang w:val="en-US" w:eastAsia="zh-CN"/>
        </w:rPr>
        <w:t>3分</w:t>
      </w:r>
      <w:r>
        <w:rPr>
          <w:rFonts w:hint="eastAsia" w:ascii="仿宋_GB2312" w:hAnsi="仿宋_GB2312" w:eastAsia="仿宋_GB2312" w:cs="仿宋_GB2312"/>
          <w:color w:val="auto"/>
          <w:sz w:val="32"/>
          <w:szCs w:val="32"/>
          <w:lang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4.项目结果 （9分）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auto"/>
          <w:sz w:val="32"/>
          <w:szCs w:val="32"/>
          <w:lang w:val="en-US" w:eastAsia="zh-CN"/>
        </w:rPr>
        <w:t>目标完成（6分）：该项指标得分=实际完成目标任务量÷首次批复立项设定绩效目标任务总量×100%×6=5÷5×100%×6=6分。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完成时效（</w:t>
      </w:r>
      <w:r>
        <w:rPr>
          <w:rFonts w:hint="eastAsia" w:ascii="仿宋_GB2312" w:hAnsi="仿宋_GB2312" w:eastAsia="仿宋_GB2312" w:cs="仿宋_GB2312"/>
          <w:color w:val="auto"/>
          <w:sz w:val="32"/>
          <w:szCs w:val="32"/>
          <w:lang w:val="en-US" w:eastAsia="zh-CN"/>
        </w:rPr>
        <w:t>3分</w:t>
      </w:r>
      <w:r>
        <w:rPr>
          <w:rFonts w:hint="eastAsia" w:ascii="仿宋_GB2312" w:hAnsi="仿宋_GB2312" w:eastAsia="仿宋_GB2312" w:cs="仿宋_GB2312"/>
          <w:color w:val="auto"/>
          <w:sz w:val="32"/>
          <w:szCs w:val="32"/>
          <w:lang w:eastAsia="zh-CN"/>
        </w:rPr>
        <w:t>）：该项指标得分=（1-(</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lang w:eastAsia="zh-CN"/>
        </w:rPr>
        <w:t>）×100%×3</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lang w:eastAsia="zh-CN"/>
        </w:rPr>
        <w:t>指标以月数为单位。实际完成时间-计划完成时间等于0，得</w:t>
      </w:r>
      <w:r>
        <w:rPr>
          <w:rFonts w:hint="eastAsia" w:ascii="仿宋_GB2312" w:hAnsi="仿宋_GB2312" w:eastAsia="仿宋_GB2312" w:cs="仿宋_GB2312"/>
          <w:color w:val="auto"/>
          <w:sz w:val="32"/>
          <w:szCs w:val="32"/>
          <w:lang w:val="en-US" w:eastAsia="zh-CN"/>
        </w:rPr>
        <w:t>3分。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outlineLvl w:val="9"/>
        <w:rPr>
          <w:rFonts w:hint="eastAsia" w:ascii="楷体_GB2312" w:hAnsi="楷体_GB2312" w:eastAsia="楷体_GB2312" w:cs="楷体_GB2312"/>
          <w:color w:val="auto"/>
          <w:sz w:val="32"/>
          <w:szCs w:val="32"/>
          <w:lang w:val="zh-CN" w:eastAsia="zh-CN"/>
        </w:rPr>
      </w:pPr>
      <w:r>
        <w:rPr>
          <w:rFonts w:hint="eastAsia" w:ascii="楷体_GB2312" w:hAnsi="楷体_GB2312" w:eastAsia="楷体_GB2312" w:cs="楷体_GB2312"/>
          <w:b/>
          <w:color w:val="auto"/>
          <w:sz w:val="32"/>
          <w:szCs w:val="32"/>
          <w:highlight w:val="none"/>
          <w:u w:val="none"/>
          <w:lang w:val="zh-CN"/>
        </w:rPr>
        <w:t>（二）</w:t>
      </w:r>
      <w:r>
        <w:rPr>
          <w:rFonts w:hint="eastAsia" w:ascii="楷体_GB2312" w:hAnsi="楷体_GB2312" w:eastAsia="楷体_GB2312" w:cs="楷体_GB2312"/>
          <w:b/>
          <w:color w:val="auto"/>
          <w:sz w:val="32"/>
          <w:szCs w:val="32"/>
          <w:highlight w:val="none"/>
          <w:u w:val="none"/>
          <w:lang w:val="en-US" w:eastAsia="zh-CN"/>
        </w:rPr>
        <w:t>专用指标</w:t>
      </w:r>
      <w:r>
        <w:rPr>
          <w:rFonts w:hint="eastAsia" w:ascii="楷体_GB2312" w:hAnsi="楷体_GB2312" w:eastAsia="楷体_GB2312" w:cs="楷体_GB2312"/>
          <w:b/>
          <w:bCs/>
          <w:color w:val="auto"/>
          <w:kern w:val="0"/>
          <w:sz w:val="32"/>
          <w:szCs w:val="32"/>
          <w:highlight w:val="none"/>
          <w:shd w:val="clear" w:color="auto" w:fill="FFFFFF"/>
          <w:lang w:val="zh-CN"/>
        </w:rPr>
        <w:t>绩效分析（</w:t>
      </w:r>
      <w:r>
        <w:rPr>
          <w:rFonts w:hint="eastAsia" w:ascii="楷体_GB2312" w:hAnsi="楷体_GB2312" w:eastAsia="楷体_GB2312" w:cs="楷体_GB2312"/>
          <w:b/>
          <w:bCs/>
          <w:color w:val="auto"/>
          <w:kern w:val="0"/>
          <w:sz w:val="32"/>
          <w:szCs w:val="32"/>
          <w:highlight w:val="none"/>
          <w:shd w:val="clear" w:color="auto" w:fill="FFFFFF"/>
          <w:lang w:val="en-US" w:eastAsia="zh-CN"/>
        </w:rPr>
        <w:t>29.5分</w:t>
      </w:r>
      <w:r>
        <w:rPr>
          <w:rFonts w:hint="eastAsia" w:ascii="楷体_GB2312" w:hAnsi="楷体_GB2312" w:eastAsia="楷体_GB2312" w:cs="楷体_GB2312"/>
          <w:b/>
          <w:bCs/>
          <w:color w:val="auto"/>
          <w:kern w:val="0"/>
          <w:sz w:val="32"/>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color w:val="auto"/>
          <w:sz w:val="32"/>
          <w:szCs w:val="32"/>
          <w:lang w:val="zh-CN" w:eastAsia="zh-CN"/>
        </w:rPr>
        <w:t>民生保障：该项目主要涉及民生保障。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区域均衡性（</w:t>
      </w:r>
      <w:r>
        <w:rPr>
          <w:rFonts w:hint="eastAsia" w:ascii="仿宋_GB2312" w:hAnsi="仿宋_GB2312" w:eastAsia="仿宋_GB2312" w:cs="仿宋_GB2312"/>
          <w:color w:val="auto"/>
          <w:sz w:val="32"/>
          <w:szCs w:val="32"/>
          <w:lang w:val="en-US" w:eastAsia="zh-CN"/>
        </w:rPr>
        <w:t>10分</w:t>
      </w:r>
      <w:r>
        <w:rPr>
          <w:rFonts w:hint="eastAsia" w:ascii="仿宋_GB2312" w:hAnsi="仿宋_GB2312" w:eastAsia="仿宋_GB2312" w:cs="仿宋_GB2312"/>
          <w:color w:val="auto"/>
          <w:sz w:val="32"/>
          <w:szCs w:val="32"/>
          <w:lang w:eastAsia="zh-CN"/>
        </w:rPr>
        <w:t>）：该项目实施使县级疾控机构检验能力得到了提升。</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对象精准性（</w:t>
      </w:r>
      <w:r>
        <w:rPr>
          <w:rFonts w:hint="eastAsia" w:ascii="仿宋_GB2312" w:hAnsi="仿宋_GB2312" w:eastAsia="仿宋_GB2312" w:cs="仿宋_GB2312"/>
          <w:color w:val="auto"/>
          <w:sz w:val="32"/>
          <w:szCs w:val="32"/>
          <w:lang w:val="en-US" w:eastAsia="zh-CN"/>
        </w:rPr>
        <w:t>10分</w:t>
      </w:r>
      <w:r>
        <w:rPr>
          <w:rFonts w:hint="eastAsia" w:ascii="仿宋_GB2312" w:hAnsi="仿宋_GB2312" w:eastAsia="仿宋_GB2312" w:cs="仿宋_GB2312"/>
          <w:color w:val="auto"/>
          <w:sz w:val="32"/>
          <w:szCs w:val="32"/>
          <w:lang w:eastAsia="zh-CN"/>
        </w:rPr>
        <w:t>）：该项指标得分=（</w:t>
      </w:r>
      <w:r>
        <w:rPr>
          <w:rFonts w:hint="eastAsia" w:ascii="仿宋_GB2312" w:hAnsi="仿宋_GB2312" w:eastAsia="仿宋_GB2312" w:cs="仿宋_GB2312"/>
          <w:color w:val="auto"/>
          <w:sz w:val="32"/>
          <w:szCs w:val="32"/>
          <w:lang w:val="en-US" w:eastAsia="zh-CN"/>
        </w:rPr>
        <w:t>118</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118</w:t>
      </w:r>
      <w:r>
        <w:rPr>
          <w:rFonts w:hint="eastAsia" w:ascii="仿宋_GB2312" w:hAnsi="仿宋_GB2312" w:eastAsia="仿宋_GB2312" w:cs="仿宋_GB2312"/>
          <w:color w:val="auto"/>
          <w:sz w:val="32"/>
          <w:szCs w:val="32"/>
          <w:lang w:eastAsia="zh-CN"/>
        </w:rPr>
        <w:t>×100%×10</w:t>
      </w:r>
      <w:r>
        <w:rPr>
          <w:rFonts w:hint="eastAsia" w:ascii="仿宋_GB2312" w:hAnsi="仿宋_GB2312" w:eastAsia="仿宋_GB2312" w:cs="仿宋_GB2312"/>
          <w:color w:val="auto"/>
          <w:sz w:val="32"/>
          <w:szCs w:val="32"/>
          <w:lang w:val="en-US" w:eastAsia="zh-CN"/>
        </w:rPr>
        <w:t>=10分。抽样的支持对象总人数118人，不符合支持对象人数0人，抽样的支持对象总人数118人。（选取水质监测数据作为自评依据）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highlight w:val="red"/>
          <w:lang w:val="en-US" w:eastAsia="zh-CN"/>
        </w:rPr>
      </w:pPr>
      <w:r>
        <w:rPr>
          <w:rFonts w:hint="eastAsia" w:ascii="仿宋_GB2312" w:hAnsi="仿宋_GB2312" w:eastAsia="仿宋_GB2312" w:cs="仿宋_GB2312"/>
          <w:color w:val="auto"/>
          <w:sz w:val="32"/>
          <w:szCs w:val="32"/>
          <w:lang w:eastAsia="zh-CN"/>
        </w:rPr>
        <w:t>标准合理性（</w:t>
      </w:r>
      <w:r>
        <w:rPr>
          <w:rFonts w:hint="eastAsia" w:ascii="仿宋_GB2312" w:hAnsi="仿宋_GB2312" w:eastAsia="仿宋_GB2312" w:cs="仿宋_GB2312"/>
          <w:color w:val="auto"/>
          <w:sz w:val="32"/>
          <w:szCs w:val="32"/>
          <w:lang w:val="en-US" w:eastAsia="zh-CN"/>
        </w:rPr>
        <w:t>5分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该项指标得分=（118-0）÷118×100%×5=5分。（选取水质监测数据作为自评依据）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群众满意度（</w:t>
      </w:r>
      <w:r>
        <w:rPr>
          <w:rFonts w:hint="eastAsia" w:ascii="仿宋_GB2312" w:hAnsi="仿宋_GB2312" w:eastAsia="仿宋_GB2312" w:cs="仿宋_GB2312"/>
          <w:color w:val="auto"/>
          <w:sz w:val="32"/>
          <w:szCs w:val="32"/>
          <w:lang w:val="en-US" w:eastAsia="zh-CN"/>
        </w:rPr>
        <w:t>4.5分</w:t>
      </w:r>
      <w:r>
        <w:rPr>
          <w:rFonts w:hint="eastAsia" w:ascii="仿宋_GB2312" w:hAnsi="仿宋_GB2312" w:eastAsia="仿宋_GB2312" w:cs="仿宋_GB2312"/>
          <w:color w:val="auto"/>
          <w:sz w:val="32"/>
          <w:szCs w:val="32"/>
          <w:lang w:eastAsia="zh-CN"/>
        </w:rPr>
        <w:t>）：该项指标得分=</w:t>
      </w:r>
      <w:r>
        <w:rPr>
          <w:rFonts w:hint="eastAsia" w:ascii="仿宋_GB2312" w:hAnsi="仿宋_GB2312" w:eastAsia="仿宋_GB2312" w:cs="仿宋_GB2312"/>
          <w:color w:val="auto"/>
          <w:sz w:val="32"/>
          <w:szCs w:val="32"/>
          <w:lang w:val="en-US" w:eastAsia="zh-CN"/>
        </w:rPr>
        <w:t>0.90</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90</w:t>
      </w:r>
      <w:r>
        <w:rPr>
          <w:rFonts w:hint="eastAsia" w:ascii="仿宋_GB2312" w:hAnsi="仿宋_GB2312" w:eastAsia="仿宋_GB2312" w:cs="仿宋_GB2312"/>
          <w:color w:val="auto"/>
          <w:sz w:val="32"/>
          <w:szCs w:val="32"/>
          <w:lang w:eastAsia="zh-CN"/>
        </w:rPr>
        <w:t>%×5</w:t>
      </w:r>
      <w:r>
        <w:rPr>
          <w:rFonts w:hint="eastAsia" w:ascii="仿宋_GB2312" w:hAnsi="仿宋_GB2312" w:eastAsia="仿宋_GB2312" w:cs="仿宋_GB2312"/>
          <w:color w:val="auto"/>
          <w:sz w:val="32"/>
          <w:szCs w:val="32"/>
          <w:lang w:val="en-US" w:eastAsia="zh-CN"/>
        </w:rPr>
        <w:t>=4.5分。</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10" w:leftChars="0" w:firstLine="640" w:firstLineChars="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b/>
          <w:color w:val="auto"/>
          <w:sz w:val="32"/>
          <w:szCs w:val="32"/>
          <w:highlight w:val="none"/>
          <w:u w:val="none"/>
          <w:lang w:val="en-US" w:eastAsia="zh-CN"/>
        </w:rPr>
        <w:t>个性指标</w:t>
      </w:r>
      <w:r>
        <w:rPr>
          <w:rFonts w:hint="eastAsia" w:ascii="楷体_GB2312" w:hAnsi="楷体_GB2312" w:eastAsia="楷体_GB2312" w:cs="楷体_GB2312"/>
          <w:b/>
          <w:bCs/>
          <w:color w:val="auto"/>
          <w:kern w:val="0"/>
          <w:sz w:val="32"/>
          <w:szCs w:val="32"/>
          <w:highlight w:val="none"/>
          <w:shd w:val="clear" w:color="auto" w:fill="FFFFFF"/>
          <w:lang w:val="zh-CN"/>
        </w:rPr>
        <w:t>绩效分析（</w:t>
      </w:r>
      <w:r>
        <w:rPr>
          <w:rFonts w:hint="eastAsia" w:ascii="楷体_GB2312" w:hAnsi="楷体_GB2312" w:eastAsia="楷体_GB2312" w:cs="楷体_GB2312"/>
          <w:b/>
          <w:bCs/>
          <w:color w:val="auto"/>
          <w:kern w:val="0"/>
          <w:sz w:val="32"/>
          <w:szCs w:val="32"/>
          <w:highlight w:val="none"/>
          <w:shd w:val="clear" w:color="auto" w:fill="FFFFFF"/>
          <w:lang w:val="en-US" w:eastAsia="zh-CN"/>
        </w:rPr>
        <w:t>9.6分</w:t>
      </w:r>
      <w:r>
        <w:rPr>
          <w:rFonts w:hint="eastAsia" w:ascii="楷体_GB2312" w:hAnsi="楷体_GB2312" w:eastAsia="楷体_GB2312" w:cs="楷体_GB2312"/>
          <w:b/>
          <w:bCs/>
          <w:color w:val="auto"/>
          <w:kern w:val="0"/>
          <w:sz w:val="32"/>
          <w:szCs w:val="32"/>
          <w:highlight w:val="none"/>
          <w:shd w:val="clear" w:color="auto" w:fill="FFFFFF"/>
          <w:lang w:val="zh-CN"/>
        </w:rPr>
        <w:t>）</w:t>
      </w:r>
    </w:p>
    <w:p>
      <w:pPr>
        <w:keepNext w:val="0"/>
        <w:keepLines w:val="0"/>
        <w:pageBreakBefore w:val="0"/>
        <w:kinsoku/>
        <w:wordWrap/>
        <w:overflowPunct/>
        <w:topLinePunct w:val="0"/>
        <w:autoSpaceDE/>
        <w:autoSpaceDN/>
        <w:bidi w:val="0"/>
        <w:spacing w:line="560" w:lineRule="exact"/>
        <w:ind w:firstLine="640" w:firstLineChars="200"/>
        <w:textAlignment w:val="auto"/>
        <w:rPr>
          <w:rStyle w:val="18"/>
          <w:rFonts w:hint="eastAsia" w:ascii="仿宋_GB2312" w:hAnsi="仿宋_GB2312" w:eastAsia="仿宋_GB2312" w:cs="仿宋_GB2312"/>
          <w:color w:val="auto"/>
          <w:sz w:val="32"/>
          <w:szCs w:val="32"/>
          <w:lang w:val="en-US" w:eastAsia="zh-CN"/>
        </w:rPr>
      </w:pPr>
      <w:r>
        <w:rPr>
          <w:rStyle w:val="18"/>
          <w:rFonts w:hint="eastAsia" w:ascii="仿宋_GB2312" w:hAnsi="仿宋_GB2312" w:eastAsia="仿宋_GB2312" w:cs="仿宋_GB2312"/>
          <w:color w:val="auto"/>
          <w:kern w:val="2"/>
          <w:sz w:val="32"/>
          <w:szCs w:val="32"/>
          <w:lang w:val="en-US" w:eastAsia="zh-CN" w:bidi="ar-SA"/>
        </w:rPr>
        <w:t>数量指标（8分）：</w:t>
      </w:r>
      <w:r>
        <w:rPr>
          <w:rFonts w:hint="eastAsia" w:ascii="仿宋_GB2312" w:hAnsi="仿宋_GB2312" w:eastAsia="仿宋_GB2312" w:cs="仿宋_GB2312"/>
          <w:sz w:val="32"/>
          <w:szCs w:val="32"/>
          <w:lang w:val="en-US" w:eastAsia="zh-CN"/>
        </w:rPr>
        <w:t>项目覆盖疾控机构配置仪器数量</w:t>
      </w:r>
      <w:r>
        <w:rPr>
          <w:rStyle w:val="18"/>
          <w:rFonts w:hint="eastAsia" w:ascii="仿宋_GB2312" w:hAnsi="仿宋_GB2312" w:eastAsia="仿宋_GB2312" w:cs="仿宋_GB2312"/>
          <w:color w:val="auto"/>
          <w:sz w:val="32"/>
          <w:szCs w:val="32"/>
        </w:rPr>
        <w:t>≥</w:t>
      </w:r>
      <w:r>
        <w:rPr>
          <w:rStyle w:val="18"/>
          <w:rFonts w:hint="eastAsia" w:ascii="仿宋_GB2312" w:hAnsi="仿宋_GB2312" w:eastAsia="仿宋_GB2312" w:cs="仿宋_GB2312"/>
          <w:color w:val="auto"/>
          <w:sz w:val="32"/>
          <w:szCs w:val="32"/>
          <w:lang w:val="en-US" w:eastAsia="zh-CN"/>
        </w:rPr>
        <w:t>5台。</w:t>
      </w:r>
    </w:p>
    <w:p>
      <w:pPr>
        <w:pStyle w:val="14"/>
        <w:keepNext w:val="0"/>
        <w:keepLines w:val="0"/>
        <w:pageBreakBefore w:val="0"/>
        <w:kinsoku/>
        <w:wordWrap/>
        <w:overflowPunct/>
        <w:topLinePunct w:val="0"/>
        <w:autoSpaceDE/>
        <w:autoSpaceDN/>
        <w:bidi w:val="0"/>
        <w:spacing w:line="560" w:lineRule="exact"/>
        <w:textAlignment w:val="auto"/>
        <w:rPr>
          <w:rFonts w:hint="eastAsia" w:ascii="仿宋_GB2312" w:hAnsi="仿宋_GB2312" w:eastAsia="仿宋_GB2312" w:cs="仿宋_GB2312"/>
          <w:sz w:val="32"/>
          <w:szCs w:val="32"/>
          <w:lang w:val="en-US" w:eastAsia="zh-CN"/>
        </w:rPr>
      </w:pPr>
      <w:r>
        <w:rPr>
          <w:rStyle w:val="18"/>
          <w:rFonts w:hint="eastAsia" w:ascii="仿宋_GB2312" w:hAnsi="仿宋_GB2312" w:eastAsia="仿宋_GB2312" w:cs="仿宋_GB2312"/>
          <w:color w:val="auto"/>
          <w:sz w:val="32"/>
          <w:szCs w:val="32"/>
          <w:lang w:eastAsia="zh-CN"/>
        </w:rPr>
        <w:t>效益指标</w:t>
      </w:r>
      <w:r>
        <w:rPr>
          <w:rStyle w:val="18"/>
          <w:rFonts w:hint="eastAsia" w:ascii="仿宋_GB2312" w:hAnsi="仿宋_GB2312" w:eastAsia="仿宋_GB2312" w:cs="仿宋_GB2312"/>
          <w:color w:val="auto"/>
          <w:kern w:val="2"/>
          <w:sz w:val="32"/>
          <w:szCs w:val="32"/>
          <w:lang w:val="en-US" w:eastAsia="zh-CN" w:bidi="ar-SA"/>
        </w:rPr>
        <w:t>（1.6分）</w:t>
      </w:r>
      <w:r>
        <w:rPr>
          <w:rStyle w:val="18"/>
          <w:rFonts w:hint="eastAsia" w:ascii="仿宋_GB2312" w:hAnsi="仿宋_GB2312" w:eastAsia="仿宋_GB2312" w:cs="仿宋_GB2312"/>
          <w:color w:val="auto"/>
          <w:sz w:val="32"/>
          <w:szCs w:val="32"/>
          <w:lang w:eastAsia="zh-CN"/>
        </w:rPr>
        <w:t>：设备使用年限</w:t>
      </w:r>
      <w:r>
        <w:rPr>
          <w:rStyle w:val="18"/>
          <w:rFonts w:hint="eastAsia" w:ascii="仿宋_GB2312" w:hAnsi="仿宋_GB2312" w:eastAsia="仿宋_GB2312" w:cs="仿宋_GB2312"/>
          <w:color w:val="auto"/>
          <w:sz w:val="32"/>
          <w:szCs w:val="32"/>
        </w:rPr>
        <w:t>≥</w:t>
      </w:r>
      <w:r>
        <w:rPr>
          <w:rStyle w:val="18"/>
          <w:rFonts w:hint="eastAsia" w:ascii="仿宋_GB2312" w:hAnsi="仿宋_GB2312" w:eastAsia="仿宋_GB2312" w:cs="仿宋_GB2312"/>
          <w:color w:val="auto"/>
          <w:sz w:val="32"/>
          <w:szCs w:val="32"/>
          <w:lang w:val="en-US" w:eastAsia="zh-CN"/>
        </w:rPr>
        <w:t>5年。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outlineLvl w:val="9"/>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5"/>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黑体" w:hAnsi="黑体" w:cs="黑体"/>
          <w:b w:val="0"/>
          <w:bCs w:val="0"/>
          <w:color w:val="auto"/>
          <w:kern w:val="2"/>
          <w:position w:val="0"/>
          <w:sz w:val="32"/>
          <w:szCs w:val="32"/>
          <w:highlight w:val="none"/>
          <w:lang w:val="en-US" w:eastAsia="zh-CN" w:bidi="ar-SA"/>
        </w:rPr>
      </w:pPr>
      <w:r>
        <w:rPr>
          <w:rFonts w:hint="eastAsia" w:ascii="仿宋_GB2312" w:hAnsi="仿宋_GB2312" w:eastAsia="仿宋_GB2312" w:cs="仿宋_GB2312"/>
          <w:b w:val="0"/>
          <w:bCs w:val="0"/>
          <w:color w:val="auto"/>
          <w:kern w:val="0"/>
          <w:position w:val="0"/>
          <w:sz w:val="32"/>
          <w:szCs w:val="32"/>
          <w:highlight w:val="none"/>
          <w:lang w:val="en-US" w:eastAsia="zh-CN" w:bidi="ar-SA"/>
        </w:rPr>
        <w:t>该项专项预算项目绩效自评总体结论优异，自评得分92.1分，项目实施范围符合州级要求，并按照完成了项目资金拨付，截止2024年12月31日，资金使用率达99.57%。</w:t>
      </w:r>
    </w:p>
    <w:p>
      <w:pPr>
        <w:pStyle w:val="5"/>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keepNext w:val="0"/>
        <w:keepLines w:val="0"/>
        <w:pageBreakBefore w:val="0"/>
        <w:numPr>
          <w:ilvl w:val="0"/>
          <w:numId w:val="0"/>
        </w:numPr>
        <w:kinsoku/>
        <w:wordWrap/>
        <w:overflowPunct/>
        <w:topLinePunct w:val="0"/>
        <w:autoSpaceDE/>
        <w:autoSpaceDN/>
        <w:bidi w:val="0"/>
        <w:spacing w:line="560" w:lineRule="exact"/>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val="en-US" w:eastAsia="zh-CN"/>
        </w:rPr>
        <w:t>项目资金使用时效偏后。资金下达后未能提前确定项目资金使用计划，从而导致政府采购流程一拖再拖。</w:t>
      </w:r>
    </w:p>
    <w:p>
      <w:pPr>
        <w:pStyle w:val="5"/>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keepNext w:val="0"/>
        <w:keepLines w:val="0"/>
        <w:pageBreakBefore w:val="0"/>
        <w:tabs>
          <w:tab w:val="left" w:pos="1911"/>
        </w:tabs>
        <w:kinsoku/>
        <w:wordWrap/>
        <w:overflowPunct/>
        <w:topLinePunct w:val="0"/>
        <w:autoSpaceDE/>
        <w:autoSpaceDN/>
        <w:bidi w:val="0"/>
        <w:spacing w:line="560" w:lineRule="exact"/>
        <w:jc w:val="left"/>
        <w:textAlignment w:val="auto"/>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cs="仿宋_GB2312"/>
          <w:b w:val="0"/>
          <w:bCs w:val="0"/>
          <w:color w:val="auto"/>
          <w:kern w:val="0"/>
          <w:position w:val="0"/>
          <w:sz w:val="32"/>
          <w:szCs w:val="32"/>
          <w:highlight w:val="none"/>
          <w:lang w:val="en-US" w:eastAsia="zh-CN" w:bidi="ar-SA"/>
        </w:rPr>
        <w:t xml:space="preserve">   </w:t>
      </w:r>
      <w:r>
        <w:rPr>
          <w:rFonts w:hint="eastAsia" w:ascii="仿宋_GB2312" w:hAnsi="仿宋_GB2312" w:eastAsia="仿宋_GB2312" w:cs="仿宋_GB2312"/>
          <w:b w:val="0"/>
          <w:bCs w:val="0"/>
          <w:color w:val="auto"/>
          <w:kern w:val="0"/>
          <w:position w:val="0"/>
          <w:sz w:val="32"/>
          <w:szCs w:val="32"/>
          <w:highlight w:val="none"/>
          <w:lang w:val="en-US" w:eastAsia="zh-CN" w:bidi="ar-SA"/>
        </w:rPr>
        <w:t>项目资金应与项目实施方案打包统一下发，以此提高项目资金使用进度。</w:t>
      </w:r>
    </w:p>
    <w:p>
      <w:pPr>
        <w:rPr>
          <w:rFonts w:hint="eastAsia"/>
          <w:lang w:val="zh-CN" w:eastAsia="zh-CN"/>
        </w:rPr>
      </w:pPr>
    </w:p>
    <w:p>
      <w:pPr>
        <w:pStyle w:val="2"/>
        <w:rPr>
          <w:rFonts w:hint="eastAsia"/>
          <w:lang w:val="zh-CN" w:eastAsia="zh-CN"/>
        </w:rPr>
      </w:pPr>
    </w:p>
    <w:p>
      <w:pPr>
        <w:rPr>
          <w:rFonts w:hint="eastAsia"/>
          <w:lang w:val="zh-CN" w:eastAsia="zh-CN"/>
        </w:rPr>
      </w:pPr>
    </w:p>
    <w:p>
      <w:pPr>
        <w:pStyle w:val="14"/>
        <w:rPr>
          <w:rFonts w:hint="eastAsia"/>
          <w:lang w:val="zh-CN" w:eastAsia="zh-CN"/>
        </w:rPr>
      </w:pPr>
      <w:r>
        <w:rPr>
          <w:rFonts w:hint="eastAsia" w:ascii="仿宋_GB2312" w:hAnsi="仿宋" w:eastAsia="仿宋_GB2312" w:cs="仿宋"/>
        </w:rPr>
        <w:drawing>
          <wp:anchor distT="0" distB="0" distL="114935" distR="114935" simplePos="0" relativeHeight="251660288" behindDoc="1" locked="0" layoutInCell="1" allowOverlap="1">
            <wp:simplePos x="0" y="0"/>
            <wp:positionH relativeFrom="column">
              <wp:posOffset>3784600</wp:posOffset>
            </wp:positionH>
            <wp:positionV relativeFrom="paragraph">
              <wp:posOffset>158750</wp:posOffset>
            </wp:positionV>
            <wp:extent cx="1487805" cy="1458595"/>
            <wp:effectExtent l="202565" t="196850" r="205740" b="201295"/>
            <wp:wrapNone/>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6"/>
                    <a:stretch>
                      <a:fillRect/>
                    </a:stretch>
                  </pic:blipFill>
                  <pic:spPr>
                    <a:xfrm rot="17340000">
                      <a:off x="0" y="0"/>
                      <a:ext cx="1487805" cy="1458595"/>
                    </a:xfrm>
                    <a:prstGeom prst="rect">
                      <a:avLst/>
                    </a:prstGeom>
                  </pic:spPr>
                </pic:pic>
              </a:graphicData>
            </a:graphic>
          </wp:anchor>
        </w:drawing>
      </w:r>
    </w:p>
    <w:p>
      <w:pPr>
        <w:keepNext w:val="0"/>
        <w:keepLines w:val="0"/>
        <w:pageBreakBefore w:val="0"/>
        <w:widowControl/>
        <w:kinsoku w:val="0"/>
        <w:wordWrap/>
        <w:overflowPunct/>
        <w:topLinePunct w:val="0"/>
        <w:autoSpaceDE w:val="0"/>
        <w:autoSpaceDN w:val="0"/>
        <w:bidi w:val="0"/>
        <w:adjustRightInd w:val="0"/>
        <w:snapToGrid w:val="0"/>
        <w:spacing w:line="560" w:lineRule="exact"/>
        <w:jc w:val="left"/>
        <w:textAlignment w:val="baseline"/>
        <w:rPr>
          <w:rFonts w:hint="eastAsia" w:ascii="方正仿宋_GBK" w:hAnsi="方正仿宋_GBK" w:eastAsia="方正仿宋_GBK" w:cs="方正仿宋_GBK"/>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jc w:val="right"/>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黑水县疾病预防控制中心</w:t>
      </w:r>
    </w:p>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2025年5月20日</w:t>
      </w:r>
    </w:p>
    <w:p>
      <w:pPr>
        <w:keepNext w:val="0"/>
        <w:keepLines w:val="0"/>
        <w:pageBreakBefore w:val="0"/>
        <w:widowControl/>
        <w:kinsoku w:val="0"/>
        <w:wordWrap/>
        <w:overflowPunct/>
        <w:topLinePunct w:val="0"/>
        <w:autoSpaceDE w:val="0"/>
        <w:autoSpaceDN w:val="0"/>
        <w:bidi w:val="0"/>
        <w:adjustRightInd w:val="0"/>
        <w:snapToGrid w:val="0"/>
        <w:spacing w:line="540" w:lineRule="atLeast"/>
        <w:ind w:firstLine="8960" w:firstLineChars="2800"/>
        <w:textAlignment w:val="baseline"/>
        <w:rPr>
          <w:rFonts w:hint="eastAsia" w:ascii="方正仿宋_GBK" w:hAnsi="方正仿宋_GBK" w:eastAsia="方正仿宋_GBK" w:cs="方正仿宋_GBK"/>
          <w:sz w:val="32"/>
          <w:szCs w:val="32"/>
          <w:lang w:val="en-US"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pStyle w:val="2"/>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pStyle w:val="2"/>
        <w:rPr>
          <w:rFonts w:hint="default"/>
          <w:lang w:val="zh-CN" w:eastAsia="zh-CN"/>
        </w:rPr>
      </w:pPr>
    </w:p>
    <w:p>
      <w:pPr>
        <w:pStyle w:val="2"/>
        <w:rPr>
          <w:rFonts w:hint="eastAsia"/>
          <w:lang w:val="en-US" w:eastAsia="zh-CN"/>
        </w:rPr>
      </w:pPr>
    </w:p>
    <w:p>
      <w:pPr>
        <w:pStyle w:val="7"/>
        <w:keepNext w:val="0"/>
        <w:keepLines w:val="0"/>
        <w:pageBreakBefore w:val="0"/>
        <w:pBdr>
          <w:top w:val="single" w:color="auto" w:sz="4" w:space="1"/>
          <w:bottom w:val="single" w:color="auto" w:sz="4" w:space="1"/>
          <w:between w:val="single" w:color="auto" w:sz="4" w:space="1"/>
        </w:pBdr>
        <w:kinsoku/>
        <w:wordWrap/>
        <w:overflowPunct/>
        <w:topLinePunct w:val="0"/>
        <w:bidi w:val="0"/>
        <w:snapToGrid/>
        <w:spacing w:line="560" w:lineRule="exact"/>
        <w:ind w:firstLine="140" w:firstLineChars="50"/>
        <w:jc w:val="left"/>
        <w:rPr>
          <w:rFonts w:hint="eastAsia" w:cs="Times New Roman"/>
          <w:color w:val="000000"/>
          <w:kern w:val="0"/>
          <w:szCs w:val="32"/>
          <w:highlight w:val="none"/>
          <w:shd w:val="clear" w:color="auto" w:fill="FFFFFF"/>
          <w:lang w:val="en-US" w:eastAsia="zh-CN"/>
        </w:rPr>
      </w:pPr>
      <w:r>
        <w:rPr>
          <w:rFonts w:hint="eastAsia" w:ascii="仿宋_GB2312" w:eastAsia="仿宋_GB2312"/>
          <w:sz w:val="28"/>
          <w:szCs w:val="28"/>
          <w:lang w:val="en-US" w:eastAsia="zh-CN"/>
        </w:rPr>
        <w:t>黑水县</w:t>
      </w:r>
      <w:r>
        <w:rPr>
          <w:rFonts w:hint="eastAsia" w:ascii="仿宋_GB2312" w:eastAsia="仿宋_GB2312"/>
          <w:sz w:val="28"/>
          <w:szCs w:val="28"/>
        </w:rPr>
        <w:t xml:space="preserve">疾病预防控制中心           </w:t>
      </w:r>
      <w:r>
        <w:rPr>
          <w:rFonts w:hint="eastAsia" w:ascii="仿宋_GB2312" w:eastAsia="仿宋_GB2312"/>
          <w:sz w:val="28"/>
          <w:szCs w:val="28"/>
          <w:lang w:val="en-US" w:eastAsia="zh-CN"/>
        </w:rPr>
        <w:t xml:space="preserve">          </w:t>
      </w:r>
      <w:r>
        <w:rPr>
          <w:rFonts w:hint="eastAsia" w:ascii="仿宋_GB2312" w:eastAsia="仿宋_GB2312"/>
          <w:sz w:val="28"/>
          <w:szCs w:val="28"/>
        </w:rPr>
        <w:t>202</w:t>
      </w:r>
      <w:r>
        <w:rPr>
          <w:rFonts w:hint="eastAsia" w:ascii="仿宋_GB2312" w:eastAsia="仿宋_GB2312"/>
          <w:sz w:val="28"/>
          <w:szCs w:val="28"/>
          <w:lang w:val="en-US" w:eastAsia="zh-CN"/>
        </w:rPr>
        <w:t>5</w:t>
      </w:r>
      <w:r>
        <w:rPr>
          <w:rFonts w:hint="eastAsia" w:ascii="仿宋_GB2312" w:eastAsia="仿宋_GB2312"/>
          <w:sz w:val="28"/>
          <w:szCs w:val="28"/>
        </w:rPr>
        <w:t>年</w:t>
      </w:r>
      <w:r>
        <w:rPr>
          <w:rFonts w:hint="eastAsia" w:ascii="仿宋_GB2312" w:eastAsia="仿宋_GB2312"/>
          <w:sz w:val="28"/>
          <w:szCs w:val="28"/>
          <w:lang w:val="en-US" w:eastAsia="zh-CN"/>
        </w:rPr>
        <w:t>5</w:t>
      </w:r>
      <w:r>
        <w:rPr>
          <w:rFonts w:hint="eastAsia" w:ascii="仿宋_GB2312" w:eastAsia="仿宋_GB2312"/>
          <w:sz w:val="28"/>
          <w:szCs w:val="28"/>
        </w:rPr>
        <w:t>月</w:t>
      </w:r>
      <w:r>
        <w:rPr>
          <w:rFonts w:hint="eastAsia" w:ascii="仿宋_GB2312" w:eastAsia="仿宋_GB2312"/>
          <w:sz w:val="28"/>
          <w:szCs w:val="28"/>
          <w:lang w:val="en-US" w:eastAsia="zh-CN"/>
        </w:rPr>
        <w:t>20</w:t>
      </w:r>
      <w:r>
        <w:rPr>
          <w:rFonts w:hint="eastAsia" w:ascii="仿宋_GB2312" w:eastAsia="仿宋_GB2312"/>
          <w:sz w:val="28"/>
          <w:szCs w:val="28"/>
        </w:rPr>
        <w:t>日印</w:t>
      </w:r>
    </w:p>
    <w:sectPr>
      <w:footerReference r:id="rId3" w:type="even"/>
      <w:pgSz w:w="11907" w:h="17010"/>
      <w:pgMar w:top="2098" w:right="1474" w:bottom="1985" w:left="1588" w:header="851" w:footer="153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auto"/>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黑体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
    <w:altName w:val="AR PL UKai CN"/>
    <w:panose1 w:val="00000000000000000000"/>
    <w:charset w:val="00"/>
    <w:family w:val="roman"/>
    <w:pitch w:val="default"/>
    <w:sig w:usb0="00000000" w:usb1="00000000" w:usb2="00000000" w:usb3="00000000" w:csb0="00040001" w:csb1="00000000"/>
  </w:font>
  <w:font w:name="AR PL UKai CN">
    <w:panose1 w:val="02000503000000000000"/>
    <w:charset w:val="86"/>
    <w:family w:val="auto"/>
    <w:pitch w:val="default"/>
    <w:sig w:usb0="A00002FF" w:usb1="3ACFFDFF" w:usb2="00000036" w:usb3="00000000" w:csb0="2016009F" w:csb1="DFD70000"/>
  </w:font>
  <w:font w:name="新宋体">
    <w:altName w:val="方正书宋_GBK"/>
    <w:panose1 w:val="02010609030101010101"/>
    <w:charset w:val="86"/>
    <w:family w:val="modern"/>
    <w:pitch w:val="default"/>
    <w:sig w:usb0="00000000" w:usb1="00000000" w:usb2="00000006" w:usb3="00000000" w:csb0="00040001" w:csb1="00000000"/>
  </w:font>
  <w:font w:name="华文中宋">
    <w:altName w:val="方正书宋_GBK"/>
    <w:panose1 w:val="02010600040101010101"/>
    <w:charset w:val="86"/>
    <w:family w:val="auto"/>
    <w:pitch w:val="default"/>
    <w:sig w:usb0="00000000" w:usb1="00000000" w:usb2="00000000" w:usb3="00000000" w:csb0="0004009F" w:csb1="DFD70000"/>
  </w:font>
  <w:font w:name="方正小标宋_GBK">
    <w:panose1 w:val="02000000000000000000"/>
    <w:charset w:val="86"/>
    <w:family w:val="auto"/>
    <w:pitch w:val="default"/>
    <w:sig w:usb0="A00002BF" w:usb1="38CF7CFA" w:usb2="00082016"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left="315" w:leftChars="150" w:right="315" w:rightChars="150"/>
      <w:jc w:val="both"/>
      <w:rPr>
        <w:rFonts w:ascii="宋体" w:hAnsi="宋体"/>
        <w:sz w:val="30"/>
        <w:szCs w:val="30"/>
      </w:rPr>
    </w:pPr>
    <w:r>
      <w:rPr>
        <w:rFonts w:hint="eastAsia" w:ascii="宋体" w:hAnsi="宋体"/>
        <w:sz w:val="30"/>
        <w:szCs w:val="30"/>
      </w:rPr>
      <w:t xml:space="preserve">― </w:t>
    </w:r>
    <w:r>
      <w:rPr>
        <w:rFonts w:hint="eastAsia" w:ascii="宋体" w:hAnsi="宋体"/>
        <w:sz w:val="30"/>
        <w:szCs w:val="30"/>
      </w:rPr>
      <w:fldChar w:fldCharType="begin"/>
    </w:r>
    <w:r>
      <w:rPr>
        <w:rFonts w:hint="eastAsia" w:ascii="宋体" w:hAnsi="宋体"/>
        <w:sz w:val="30"/>
        <w:szCs w:val="30"/>
      </w:rPr>
      <w:instrText xml:space="preserve"> PAGE </w:instrText>
    </w:r>
    <w:r>
      <w:rPr>
        <w:rFonts w:hint="eastAsia" w:ascii="宋体" w:hAnsi="宋体"/>
        <w:sz w:val="30"/>
        <w:szCs w:val="30"/>
      </w:rPr>
      <w:fldChar w:fldCharType="separate"/>
    </w:r>
    <w:r>
      <w:rPr>
        <w:rFonts w:ascii="宋体" w:hAnsi="宋体"/>
        <w:sz w:val="30"/>
        <w:szCs w:val="30"/>
      </w:rPr>
      <w:t>2</w:t>
    </w:r>
    <w:r>
      <w:rPr>
        <w:rFonts w:hint="eastAsia" w:ascii="宋体" w:hAnsi="宋体"/>
        <w:sz w:val="30"/>
        <w:szCs w:val="30"/>
      </w:rPr>
      <w:fldChar w:fldCharType="end"/>
    </w:r>
    <w:r>
      <w:rPr>
        <w:rFonts w:hint="eastAsia" w:ascii="宋体" w:hAnsi="宋体"/>
        <w:sz w:val="30"/>
        <w:szCs w:val="30"/>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825FD0"/>
    <w:multiLevelType w:val="singleLevel"/>
    <w:tmpl w:val="A1825FD0"/>
    <w:lvl w:ilvl="0" w:tentative="0">
      <w:start w:val="2"/>
      <w:numFmt w:val="chineseCounting"/>
      <w:suff w:val="nothing"/>
      <w:lvlText w:val="（%1）"/>
      <w:lvlJc w:val="left"/>
      <w:rPr>
        <w:rFonts w:hint="eastAsia"/>
      </w:rPr>
    </w:lvl>
  </w:abstractNum>
  <w:abstractNum w:abstractNumId="1">
    <w:nsid w:val="E6857523"/>
    <w:multiLevelType w:val="singleLevel"/>
    <w:tmpl w:val="E6857523"/>
    <w:lvl w:ilvl="0" w:tentative="0">
      <w:start w:val="2"/>
      <w:numFmt w:val="chineseCounting"/>
      <w:suff w:val="nothing"/>
      <w:lvlText w:val="（%1）"/>
      <w:lvlJc w:val="left"/>
      <w:rPr>
        <w:rFonts w:hint="eastAsia"/>
      </w:rPr>
    </w:lvl>
  </w:abstractNum>
  <w:abstractNum w:abstractNumId="2">
    <w:nsid w:val="ECB34FCB"/>
    <w:multiLevelType w:val="singleLevel"/>
    <w:tmpl w:val="ECB34FCB"/>
    <w:lvl w:ilvl="0" w:tentative="0">
      <w:start w:val="3"/>
      <w:numFmt w:val="chineseCounting"/>
      <w:suff w:val="nothing"/>
      <w:lvlText w:val="（%1）"/>
      <w:lvlJc w:val="left"/>
      <w:pPr>
        <w:ind w:left="-10"/>
      </w:pPr>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attachedTemplate r:id="rId1"/>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3ZjRlNDcxMGM3ZTIwNjk2NTllYjNmMWUxZDQzYzIifQ=="/>
  </w:docVars>
  <w:rsids>
    <w:rsidRoot w:val="003E28AB"/>
    <w:rsid w:val="000313C5"/>
    <w:rsid w:val="0005691A"/>
    <w:rsid w:val="00060809"/>
    <w:rsid w:val="0008343D"/>
    <w:rsid w:val="000D2889"/>
    <w:rsid w:val="00121037"/>
    <w:rsid w:val="00130C2E"/>
    <w:rsid w:val="00132A4B"/>
    <w:rsid w:val="00134692"/>
    <w:rsid w:val="0019433E"/>
    <w:rsid w:val="001E3CA4"/>
    <w:rsid w:val="001E532D"/>
    <w:rsid w:val="002107D3"/>
    <w:rsid w:val="00263D4F"/>
    <w:rsid w:val="00267874"/>
    <w:rsid w:val="00276BF6"/>
    <w:rsid w:val="002A67C1"/>
    <w:rsid w:val="002B6B2C"/>
    <w:rsid w:val="002D2AEA"/>
    <w:rsid w:val="002E2950"/>
    <w:rsid w:val="00324ED7"/>
    <w:rsid w:val="00327512"/>
    <w:rsid w:val="00330B1D"/>
    <w:rsid w:val="00372878"/>
    <w:rsid w:val="003A255E"/>
    <w:rsid w:val="003B5246"/>
    <w:rsid w:val="003C4F6C"/>
    <w:rsid w:val="003C55B1"/>
    <w:rsid w:val="003D1848"/>
    <w:rsid w:val="003E28AB"/>
    <w:rsid w:val="003E59EA"/>
    <w:rsid w:val="004B3ED2"/>
    <w:rsid w:val="004C662B"/>
    <w:rsid w:val="00546FE8"/>
    <w:rsid w:val="0056277D"/>
    <w:rsid w:val="005705D6"/>
    <w:rsid w:val="0057571B"/>
    <w:rsid w:val="0059163B"/>
    <w:rsid w:val="00611264"/>
    <w:rsid w:val="006350DC"/>
    <w:rsid w:val="006617D0"/>
    <w:rsid w:val="006645A1"/>
    <w:rsid w:val="006B63E9"/>
    <w:rsid w:val="007238A1"/>
    <w:rsid w:val="007356DF"/>
    <w:rsid w:val="00742B93"/>
    <w:rsid w:val="00744A60"/>
    <w:rsid w:val="007C6C64"/>
    <w:rsid w:val="007D121D"/>
    <w:rsid w:val="007D4A33"/>
    <w:rsid w:val="007D4FF4"/>
    <w:rsid w:val="00822DFA"/>
    <w:rsid w:val="00845A67"/>
    <w:rsid w:val="00855491"/>
    <w:rsid w:val="008576FE"/>
    <w:rsid w:val="00863EFA"/>
    <w:rsid w:val="008839AF"/>
    <w:rsid w:val="00894AEA"/>
    <w:rsid w:val="008958EB"/>
    <w:rsid w:val="008A69DA"/>
    <w:rsid w:val="008E0B1E"/>
    <w:rsid w:val="008F4501"/>
    <w:rsid w:val="009146B1"/>
    <w:rsid w:val="00941FB6"/>
    <w:rsid w:val="00946217"/>
    <w:rsid w:val="009803E7"/>
    <w:rsid w:val="009A6C3C"/>
    <w:rsid w:val="009C2CB5"/>
    <w:rsid w:val="00A74311"/>
    <w:rsid w:val="00AB00B5"/>
    <w:rsid w:val="00AB69DB"/>
    <w:rsid w:val="00AD6146"/>
    <w:rsid w:val="00AE17C3"/>
    <w:rsid w:val="00AF2240"/>
    <w:rsid w:val="00B02D2B"/>
    <w:rsid w:val="00B647C3"/>
    <w:rsid w:val="00B87748"/>
    <w:rsid w:val="00BC5A72"/>
    <w:rsid w:val="00C65602"/>
    <w:rsid w:val="00C738DA"/>
    <w:rsid w:val="00CA48E6"/>
    <w:rsid w:val="00CC05BD"/>
    <w:rsid w:val="00D0743E"/>
    <w:rsid w:val="00D508B9"/>
    <w:rsid w:val="00DF4911"/>
    <w:rsid w:val="00E17DD5"/>
    <w:rsid w:val="00E30327"/>
    <w:rsid w:val="00E60171"/>
    <w:rsid w:val="00E64F86"/>
    <w:rsid w:val="00E83D19"/>
    <w:rsid w:val="00EA4C38"/>
    <w:rsid w:val="00EB1343"/>
    <w:rsid w:val="00EB7997"/>
    <w:rsid w:val="00F13FC9"/>
    <w:rsid w:val="00F449E2"/>
    <w:rsid w:val="00F7138E"/>
    <w:rsid w:val="00FB05B4"/>
    <w:rsid w:val="00FF0EED"/>
    <w:rsid w:val="05524952"/>
    <w:rsid w:val="06E445EA"/>
    <w:rsid w:val="07A735CC"/>
    <w:rsid w:val="0BA614B9"/>
    <w:rsid w:val="1BB9554D"/>
    <w:rsid w:val="204B6033"/>
    <w:rsid w:val="236B0C61"/>
    <w:rsid w:val="25B03DE2"/>
    <w:rsid w:val="295A7167"/>
    <w:rsid w:val="318C4BC4"/>
    <w:rsid w:val="33664FA1"/>
    <w:rsid w:val="45015701"/>
    <w:rsid w:val="47DB040C"/>
    <w:rsid w:val="495B3342"/>
    <w:rsid w:val="4AD22143"/>
    <w:rsid w:val="4F2D1A89"/>
    <w:rsid w:val="53B62910"/>
    <w:rsid w:val="55BA5C3A"/>
    <w:rsid w:val="5835551B"/>
    <w:rsid w:val="602A06E8"/>
    <w:rsid w:val="6AC00E5F"/>
    <w:rsid w:val="715151E1"/>
    <w:rsid w:val="74367B7D"/>
    <w:rsid w:val="754077FF"/>
    <w:rsid w:val="7AB27FC7"/>
    <w:rsid w:val="7FEF8F79"/>
    <w:rsid w:val="BEEF1B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qFormat="1"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4"/>
    <w:basedOn w:val="1"/>
    <w:next w:val="1"/>
    <w:unhideWhenUsed/>
    <w:qFormat/>
    <w:uiPriority w:val="9"/>
    <w:pPr>
      <w:keepNext/>
      <w:keepLines/>
      <w:jc w:val="left"/>
      <w:outlineLvl w:val="3"/>
    </w:pPr>
    <w:rPr>
      <w:rFonts w:asciiTheme="majorHAnsi" w:hAnsiTheme="majorHAnsi" w:cstheme="majorBidi"/>
      <w:bCs/>
      <w:szCs w:val="28"/>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5">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6">
    <w:name w:val="Body Text Indent"/>
    <w:basedOn w:val="1"/>
    <w:qFormat/>
    <w:uiPriority w:val="0"/>
    <w:pPr>
      <w:ind w:firstLine="4680" w:firstLineChars="1300"/>
    </w:pPr>
    <w:rPr>
      <w:rFonts w:eastAsia="仿宋_GB2312"/>
      <w:b/>
      <w:bCs/>
      <w:sz w:val="36"/>
    </w:rPr>
  </w:style>
  <w:style w:type="paragraph" w:styleId="7">
    <w:name w:val="Plain Text"/>
    <w:basedOn w:val="1"/>
    <w:qFormat/>
    <w:uiPriority w:val="0"/>
    <w:pPr>
      <w:widowControl w:val="0"/>
      <w:jc w:val="both"/>
    </w:pPr>
    <w:rPr>
      <w:rFonts w:hAnsi="Courier New" w:cs="Courier New"/>
      <w:kern w:val="2"/>
      <w:sz w:val="21"/>
      <w:szCs w:val="21"/>
    </w:rPr>
  </w:style>
  <w:style w:type="paragraph" w:styleId="8">
    <w:name w:val="Date"/>
    <w:basedOn w:val="1"/>
    <w:next w:val="1"/>
    <w:qFormat/>
    <w:uiPriority w:val="0"/>
  </w:style>
  <w:style w:type="paragraph" w:styleId="9">
    <w:name w:val="Body Text Indent 2"/>
    <w:basedOn w:val="1"/>
    <w:qFormat/>
    <w:uiPriority w:val="0"/>
    <w:pPr>
      <w:spacing w:before="240"/>
      <w:ind w:firstLine="720" w:firstLineChars="225"/>
    </w:pPr>
    <w:rPr>
      <w:rFonts w:ascii="仿宋_GB2312" w:eastAsia="仿宋_GB2312"/>
      <w:sz w:val="32"/>
      <w:szCs w:val="32"/>
    </w:rPr>
  </w:style>
  <w:style w:type="paragraph" w:styleId="10">
    <w:name w:val="Balloon Text"/>
    <w:basedOn w:val="1"/>
    <w:link w:val="21"/>
    <w:semiHidden/>
    <w:unhideWhenUsed/>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Indent 3"/>
    <w:basedOn w:val="1"/>
    <w:qFormat/>
    <w:uiPriority w:val="0"/>
    <w:pPr>
      <w:ind w:firstLine="640" w:firstLineChars="200"/>
    </w:pPr>
    <w:rPr>
      <w:rFonts w:ascii="仿宋_GB2312" w:eastAsia="仿宋_GB2312"/>
      <w:sz w:val="32"/>
    </w:rPr>
  </w:style>
  <w:style w:type="paragraph" w:styleId="14">
    <w:name w:val="table of figures"/>
    <w:basedOn w:val="1"/>
    <w:next w:val="1"/>
    <w:unhideWhenUsed/>
    <w:qFormat/>
    <w:uiPriority w:val="99"/>
    <w:pPr>
      <w:ind w:left="200" w:leftChars="200" w:hanging="200" w:hangingChars="200"/>
    </w:pPr>
  </w:style>
  <w:style w:type="paragraph" w:styleId="15">
    <w:name w:val="Body Text First Indent 2"/>
    <w:basedOn w:val="6"/>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styleId="20">
    <w:name w:val="Hyperlink"/>
    <w:basedOn w:val="18"/>
    <w:qFormat/>
    <w:uiPriority w:val="0"/>
    <w:rPr>
      <w:color w:val="0000FF"/>
      <w:u w:val="single"/>
    </w:rPr>
  </w:style>
  <w:style w:type="character" w:customStyle="1" w:styleId="21">
    <w:name w:val="批注框文本 Char"/>
    <w:basedOn w:val="18"/>
    <w:link w:val="10"/>
    <w:semiHidden/>
    <w:qFormat/>
    <w:uiPriority w:val="0"/>
    <w:rPr>
      <w:kern w:val="2"/>
      <w:sz w:val="18"/>
      <w:szCs w:val="18"/>
    </w:rPr>
  </w:style>
  <w:style w:type="paragraph" w:customStyle="1" w:styleId="22">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ser/C:\Users\lenovo\Desktop\&#26032;&#24314;&#25991;&#20214;&#22841;%20(3)\2024&#24180;&#24029;&#30142;&#21457;&#65288;&#24179;&#34892;&#65289;.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2024年川疾发（平行）.dot</Template>
  <Pages>7</Pages>
  <Words>4368</Words>
  <Characters>4713</Characters>
  <Lines>46</Lines>
  <Paragraphs>13</Paragraphs>
  <TotalTime>1</TotalTime>
  <ScaleCrop>false</ScaleCrop>
  <LinksUpToDate>false</LinksUpToDate>
  <CharactersWithSpaces>4839</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2024-03-28T18:01:00Z</dcterms:created>
  <dc:creator>梁传惠</dc:creator>
  <cp:lastModifiedBy>user</cp:lastModifiedBy>
  <cp:lastPrinted>2024-12-27T19:39:00Z</cp:lastPrinted>
  <dcterms:modified xsi:type="dcterms:W3CDTF">2025-11-13T10:19:38Z</dcterms:modified>
  <dc:title>关于建立西南疾病预防控制培训基地的报告</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D0AB9F6F8FA94149905DBB344D8DE14E_13</vt:lpwstr>
  </property>
  <property fmtid="{D5CDD505-2E9C-101B-9397-08002B2CF9AE}" pid="4" name="KSOTemplateDocerSaveRecord">
    <vt:lpwstr>eyJoZGlkIjoiNGZkZDlkNjg5NWVkNWU2ZDNmZGZjYjczNjZmMTIwMmYiLCJ1c2VySWQiOiIzMjY5NjEzMjEifQ==</vt:lpwstr>
  </property>
</Properties>
</file>