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74DB30">
      <w:pPr>
        <w:keepNext w:val="0"/>
        <w:keepLines w:val="0"/>
        <w:pageBreakBefore w:val="0"/>
        <w:widowControl/>
        <w:kinsoku/>
        <w:wordWrap/>
        <w:overflowPunct/>
        <w:topLinePunct w:val="0"/>
        <w:autoSpaceDE/>
        <w:autoSpaceDN/>
        <w:bidi w:val="0"/>
        <w:spacing w:line="560" w:lineRule="exact"/>
        <w:contextualSpacing/>
        <w:jc w:val="center"/>
        <w:textAlignment w:val="auto"/>
        <w:outlineLvl w:val="9"/>
        <w:rPr>
          <w:rFonts w:hint="eastAsia" w:ascii="方正小标宋_GBK" w:hAnsi="方正小标宋_GBK" w:eastAsia="方正小标宋_GBK" w:cs="方正小标宋_GBK"/>
          <w:b w:val="0"/>
          <w:bCs/>
          <w:sz w:val="44"/>
          <w:szCs w:val="44"/>
          <w:highlight w:val="none"/>
          <w:shd w:val="clear" w:color="auto" w:fill="FFFFFF"/>
          <w:lang w:val="en-US" w:eastAsia="zh-CN"/>
        </w:rPr>
      </w:pPr>
      <w:r>
        <w:rPr>
          <w:rFonts w:hint="eastAsia" w:ascii="方正小标宋_GBK" w:hAnsi="方正小标宋_GBK" w:eastAsia="方正小标宋_GBK" w:cs="方正小标宋_GBK"/>
          <w:b w:val="0"/>
          <w:bCs/>
          <w:sz w:val="44"/>
          <w:szCs w:val="44"/>
          <w:highlight w:val="none"/>
          <w:shd w:val="clear" w:color="auto" w:fill="FFFFFF"/>
          <w:lang w:val="en-US" w:eastAsia="zh-CN"/>
        </w:rPr>
        <w:t>黑水县疾病预防控制中心</w:t>
      </w:r>
    </w:p>
    <w:p w14:paraId="45699E81">
      <w:pPr>
        <w:keepNext w:val="0"/>
        <w:keepLines w:val="0"/>
        <w:pageBreakBefore w:val="0"/>
        <w:widowControl/>
        <w:kinsoku/>
        <w:wordWrap/>
        <w:overflowPunct/>
        <w:topLinePunct w:val="0"/>
        <w:autoSpaceDE/>
        <w:autoSpaceDN/>
        <w:bidi w:val="0"/>
        <w:spacing w:line="560" w:lineRule="exact"/>
        <w:contextualSpacing/>
        <w:jc w:val="center"/>
        <w:textAlignment w:val="auto"/>
        <w:outlineLvl w:val="9"/>
        <w:rPr>
          <w:rFonts w:hint="eastAsia" w:ascii="方正小标宋_GBK" w:hAnsi="方正小标宋_GBK" w:eastAsia="方正小标宋_GBK" w:cs="方正小标宋_GBK"/>
          <w:b w:val="0"/>
          <w:bCs/>
          <w:sz w:val="44"/>
          <w:szCs w:val="44"/>
          <w:highlight w:val="none"/>
          <w:shd w:val="clear" w:color="auto" w:fill="FFFFFF"/>
          <w:lang w:val="en-US" w:eastAsia="zh-CN"/>
        </w:rPr>
      </w:pPr>
      <w:r>
        <w:rPr>
          <w:rFonts w:hint="eastAsia" w:ascii="方正小标宋_GBK" w:hAnsi="方正小标宋_GBK" w:eastAsia="方正小标宋_GBK" w:cs="方正小标宋_GBK"/>
          <w:b w:val="0"/>
          <w:bCs/>
          <w:sz w:val="44"/>
          <w:szCs w:val="44"/>
          <w:highlight w:val="none"/>
          <w:shd w:val="clear" w:color="auto" w:fill="FFFFFF"/>
          <w:lang w:val="en-US" w:eastAsia="zh-CN"/>
        </w:rPr>
        <w:t>流感疫苗项目绩效评价报告</w:t>
      </w:r>
    </w:p>
    <w:p w14:paraId="339D673E">
      <w:pPr>
        <w:keepNext w:val="0"/>
        <w:keepLines w:val="0"/>
        <w:pageBreakBefore w:val="0"/>
        <w:widowControl w:val="0"/>
        <w:kinsoku/>
        <w:wordWrap/>
        <w:overflowPunct/>
        <w:topLinePunct w:val="0"/>
        <w:autoSpaceDE/>
        <w:autoSpaceDN/>
        <w:bidi w:val="0"/>
        <w:spacing w:line="560" w:lineRule="exact"/>
        <w:ind w:left="0" w:leftChars="0" w:firstLine="640"/>
        <w:jc w:val="center"/>
        <w:textAlignment w:val="auto"/>
        <w:rPr>
          <w:rFonts w:ascii="宋体" w:hAnsi="宋体" w:eastAsia="宋体" w:cs="Times New Roman"/>
          <w:color w:val="auto"/>
          <w:kern w:val="2"/>
          <w:sz w:val="32"/>
          <w:szCs w:val="32"/>
          <w:highlight w:val="none"/>
          <w:lang w:val="zh-CN" w:eastAsia="zh-CN" w:bidi="ar-SA"/>
        </w:rPr>
      </w:pPr>
    </w:p>
    <w:p w14:paraId="717A1FD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黑体" w:hAnsi="宋体" w:eastAsia="黑体" w:cs="Times New Roman"/>
          <w:sz w:val="32"/>
          <w:szCs w:val="32"/>
          <w:highlight w:val="none"/>
          <w:lang w:val="zh-CN"/>
        </w:rPr>
      </w:pPr>
      <w:r>
        <w:rPr>
          <w:rFonts w:hint="eastAsia" w:ascii="黑体" w:hAnsi="宋体" w:eastAsia="黑体" w:cs="Times New Roman"/>
          <w:sz w:val="32"/>
          <w:szCs w:val="32"/>
          <w:highlight w:val="none"/>
        </w:rPr>
        <w:t>一、</w:t>
      </w:r>
      <w:r>
        <w:rPr>
          <w:rFonts w:hint="eastAsia" w:ascii="黑体" w:hAnsi="宋体" w:eastAsia="黑体" w:cs="Times New Roman"/>
          <w:sz w:val="32"/>
          <w:szCs w:val="32"/>
          <w:highlight w:val="none"/>
          <w:lang w:val="zh-CN"/>
        </w:rPr>
        <w:t>项目概况</w:t>
      </w:r>
    </w:p>
    <w:p w14:paraId="5D922293">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3" w:firstLineChars="200"/>
        <w:contextualSpacing/>
        <w:jc w:val="left"/>
        <w:textAlignment w:val="auto"/>
        <w:rPr>
          <w:rFonts w:hint="eastAsia" w:ascii="楷体_GB2312" w:hAnsi="宋体" w:eastAsia="楷体_GB2312" w:cs="Times New Roman"/>
          <w:b/>
          <w:color w:val="auto"/>
          <w:sz w:val="32"/>
          <w:szCs w:val="32"/>
          <w:highlight w:val="none"/>
          <w:u w:val="none"/>
          <w:lang w:val="zh-CN"/>
        </w:rPr>
      </w:pPr>
      <w:r>
        <w:rPr>
          <w:rFonts w:hint="eastAsia" w:ascii="楷体_GB2312" w:hAnsi="宋体" w:eastAsia="楷体_GB2312" w:cs="Times New Roman"/>
          <w:b/>
          <w:color w:val="auto"/>
          <w:sz w:val="32"/>
          <w:szCs w:val="32"/>
          <w:highlight w:val="none"/>
          <w:u w:val="none"/>
          <w:lang w:val="zh-CN"/>
        </w:rPr>
        <w:t>（一）设立背景及基本情况</w:t>
      </w:r>
    </w:p>
    <w:p w14:paraId="0324C620">
      <w:pPr>
        <w:keepNext w:val="0"/>
        <w:keepLines w:val="0"/>
        <w:pageBreakBefore w:val="0"/>
        <w:widowControl/>
        <w:suppressLineNumbers w:val="0"/>
        <w:kinsoku/>
        <w:wordWrap/>
        <w:overflowPunct/>
        <w:topLinePunct w:val="0"/>
        <w:autoSpaceDN/>
        <w:bidi w:val="0"/>
        <w:spacing w:line="560" w:lineRule="exact"/>
        <w:ind w:firstLine="640" w:firstLineChars="200"/>
        <w:jc w:val="left"/>
        <w:rPr>
          <w:rFonts w:hint="default"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zh-CN" w:eastAsia="zh-CN" w:bidi="ar"/>
        </w:rPr>
        <w:t>为深入贯彻全州卫生事业发展大会部署要求，全面落实卫生健康惠民十大措施，切实保障我县</w:t>
      </w:r>
      <w:r>
        <w:rPr>
          <w:rFonts w:hint="eastAsia" w:ascii="仿宋_GB2312" w:hAnsi="仿宋_GB2312" w:eastAsia="仿宋_GB2312" w:cs="仿宋_GB2312"/>
          <w:color w:val="000000"/>
          <w:kern w:val="0"/>
          <w:sz w:val="32"/>
          <w:szCs w:val="32"/>
          <w:lang w:val="en-US" w:eastAsia="zh-CN" w:bidi="ar"/>
        </w:rPr>
        <w:t>65周岁及以上老年人身体健康，做到未病先防。根据《阿坝州卫生健康委员会关于印发&lt;阿坝州2025年65周岁及以上老年人免费接种流感疫苗实施方案&gt;的通知》精神，按照“知情同意，自愿接种”原则，为150名年满65周岁及以上的老年人免费接种流感疫苗，下达我中心流感疫苗接种费共计1.77万元。</w:t>
      </w:r>
    </w:p>
    <w:p w14:paraId="2F89A639">
      <w:pPr>
        <w:keepNext w:val="0"/>
        <w:keepLines w:val="0"/>
        <w:pageBreakBefore w:val="0"/>
        <w:numPr>
          <w:ilvl w:val="0"/>
          <w:numId w:val="1"/>
        </w:numPr>
        <w:kinsoku/>
        <w:wordWrap/>
        <w:overflowPunct/>
        <w:topLinePunct w:val="0"/>
        <w:autoSpaceDE/>
        <w:autoSpaceDN/>
        <w:bidi w:val="0"/>
        <w:adjustRightInd w:val="0"/>
        <w:snapToGrid w:val="0"/>
        <w:spacing w:line="560" w:lineRule="exact"/>
        <w:ind w:left="0" w:leftChars="0" w:firstLine="643" w:firstLineChars="200"/>
        <w:textAlignment w:val="auto"/>
        <w:rPr>
          <w:rFonts w:hint="default" w:ascii="Times New Roman" w:hAnsi="Times New Roman" w:eastAsia="仿宋_GB2312" w:cs="Times New Roman"/>
          <w:sz w:val="32"/>
          <w:szCs w:val="32"/>
          <w:lang w:val="en-US" w:eastAsia="zh-CN"/>
        </w:rPr>
      </w:pPr>
      <w:r>
        <w:rPr>
          <w:rFonts w:hint="default" w:ascii="楷体_GB2312" w:hAnsi="宋体" w:eastAsia="楷体_GB2312" w:cs="Times New Roman"/>
          <w:b/>
          <w:color w:val="auto"/>
          <w:sz w:val="32"/>
          <w:szCs w:val="32"/>
          <w:highlight w:val="none"/>
          <w:u w:val="none"/>
          <w:lang w:val="en-US" w:eastAsia="zh-CN"/>
        </w:rPr>
        <w:t>实施目的及支持方向</w:t>
      </w:r>
    </w:p>
    <w:p w14:paraId="65307A10">
      <w:pPr>
        <w:keepNext w:val="0"/>
        <w:keepLines w:val="0"/>
        <w:pageBreakBefore w:val="0"/>
        <w:widowControl/>
        <w:suppressLineNumbers w:val="0"/>
        <w:kinsoku/>
        <w:wordWrap/>
        <w:overflowPunct/>
        <w:topLinePunct w:val="0"/>
        <w:autoSpaceDN/>
        <w:bidi w:val="0"/>
        <w:spacing w:line="560" w:lineRule="exact"/>
        <w:ind w:firstLine="640" w:firstLineChars="200"/>
        <w:jc w:val="left"/>
        <w:rPr>
          <w:rFonts w:hint="default"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2025年完成65周岁及以上老年人免费接种流感疫苗项目工作，黑水县任务数：150人。</w:t>
      </w:r>
    </w:p>
    <w:p w14:paraId="72C25B43">
      <w:pPr>
        <w:keepNext w:val="0"/>
        <w:keepLines w:val="0"/>
        <w:pageBreakBefore w:val="0"/>
        <w:widowControl/>
        <w:numPr>
          <w:ilvl w:val="0"/>
          <w:numId w:val="1"/>
        </w:numPr>
        <w:kinsoku/>
        <w:wordWrap/>
        <w:overflowPunct/>
        <w:topLinePunct w:val="0"/>
        <w:autoSpaceDE/>
        <w:autoSpaceDN/>
        <w:bidi w:val="0"/>
        <w:adjustRightInd w:val="0"/>
        <w:snapToGrid w:val="0"/>
        <w:spacing w:line="560" w:lineRule="exact"/>
        <w:ind w:left="0" w:leftChars="0" w:firstLine="643" w:firstLineChars="200"/>
        <w:contextualSpacing/>
        <w:jc w:val="left"/>
        <w:textAlignment w:val="auto"/>
        <w:rPr>
          <w:rFonts w:hint="default" w:ascii="楷体_GB2312" w:hAnsi="宋体" w:eastAsia="楷体_GB2312" w:cs="Times New Roman"/>
          <w:b/>
          <w:color w:val="auto"/>
          <w:sz w:val="32"/>
          <w:szCs w:val="32"/>
          <w:highlight w:val="none"/>
          <w:u w:val="none"/>
          <w:lang w:val="en-US" w:eastAsia="zh-CN"/>
        </w:rPr>
      </w:pPr>
      <w:r>
        <w:rPr>
          <w:rFonts w:hint="default" w:ascii="楷体_GB2312" w:hAnsi="宋体" w:eastAsia="楷体_GB2312" w:cs="Times New Roman"/>
          <w:b/>
          <w:color w:val="auto"/>
          <w:sz w:val="32"/>
          <w:szCs w:val="32"/>
          <w:highlight w:val="none"/>
          <w:u w:val="none"/>
          <w:lang w:val="en-US" w:eastAsia="zh-CN"/>
        </w:rPr>
        <w:t>预算安排及分配管理</w:t>
      </w:r>
    </w:p>
    <w:p w14:paraId="004E2189">
      <w:pPr>
        <w:keepNext w:val="0"/>
        <w:keepLines w:val="0"/>
        <w:pageBreakBefore w:val="0"/>
        <w:widowControl/>
        <w:suppressLineNumbers w:val="0"/>
        <w:kinsoku/>
        <w:wordWrap/>
        <w:overflowPunct/>
        <w:topLinePunct w:val="0"/>
        <w:autoSpaceDN/>
        <w:bidi w:val="0"/>
        <w:spacing w:line="560" w:lineRule="exact"/>
        <w:ind w:firstLine="640" w:firstLineChars="200"/>
        <w:jc w:val="left"/>
        <w:rPr>
          <w:rFonts w:hint="default"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资金下达依据：根据《黑水县卫生健康局关于解决65周岁及以上老年人流感疫苗采购资金及接种服务费的请示》黑卫健</w:t>
      </w:r>
      <w:r>
        <w:rPr>
          <w:rFonts w:ascii="仿宋_GB2312" w:hAnsi="仿宋_GB2312" w:eastAsia="仿宋_GB2312" w:cs="仿宋_GB2312"/>
          <w:color w:val="000000"/>
          <w:kern w:val="0"/>
          <w:sz w:val="32"/>
          <w:szCs w:val="32"/>
          <w:lang w:val="en-US" w:eastAsia="zh-CN" w:bidi="ar"/>
        </w:rPr>
        <w:t>〔</w:t>
      </w:r>
      <w:r>
        <w:rPr>
          <w:rFonts w:hint="default" w:ascii="仿宋_GB2312" w:hAnsi="仿宋_GB2312" w:eastAsia="仿宋_GB2312" w:cs="仿宋_GB2312"/>
          <w:color w:val="000000"/>
          <w:kern w:val="0"/>
          <w:sz w:val="32"/>
          <w:szCs w:val="32"/>
          <w:lang w:val="en-US" w:eastAsia="zh-CN" w:bidi="ar"/>
        </w:rPr>
        <w:t>202</w:t>
      </w:r>
      <w:r>
        <w:rPr>
          <w:rFonts w:hint="eastAsia" w:ascii="仿宋_GB2312" w:hAnsi="仿宋_GB2312" w:eastAsia="仿宋_GB2312" w:cs="仿宋_GB2312"/>
          <w:color w:val="000000"/>
          <w:kern w:val="0"/>
          <w:sz w:val="32"/>
          <w:szCs w:val="32"/>
          <w:lang w:val="en-US" w:eastAsia="zh-CN" w:bidi="ar"/>
        </w:rPr>
        <w:t>5</w:t>
      </w:r>
      <w:r>
        <w:rPr>
          <w:rFonts w:ascii="仿宋_GB2312" w:hAnsi="仿宋_GB2312" w:eastAsia="仿宋_GB2312" w:cs="仿宋_GB2312"/>
          <w:color w:val="000000"/>
          <w:kern w:val="0"/>
          <w:sz w:val="32"/>
          <w:szCs w:val="32"/>
          <w:lang w:val="en-US" w:eastAsia="zh-CN" w:bidi="ar"/>
        </w:rPr>
        <w:t>〕</w:t>
      </w:r>
      <w:r>
        <w:rPr>
          <w:rFonts w:hint="eastAsia" w:ascii="仿宋_GB2312" w:hAnsi="仿宋_GB2312" w:eastAsia="仿宋_GB2312" w:cs="仿宋_GB2312"/>
          <w:color w:val="000000"/>
          <w:kern w:val="0"/>
          <w:sz w:val="32"/>
          <w:szCs w:val="32"/>
          <w:lang w:val="en-US" w:eastAsia="zh-CN" w:bidi="ar"/>
        </w:rPr>
        <w:t>68号。</w:t>
      </w:r>
    </w:p>
    <w:p w14:paraId="200810FF">
      <w:pPr>
        <w:keepNext w:val="0"/>
        <w:keepLines w:val="0"/>
        <w:pageBreakBefore w:val="0"/>
        <w:widowControl/>
        <w:suppressLineNumbers w:val="0"/>
        <w:kinsoku/>
        <w:wordWrap/>
        <w:overflowPunct/>
        <w:topLinePunct w:val="0"/>
        <w:autoSpaceDN/>
        <w:bidi w:val="0"/>
        <w:spacing w:line="560" w:lineRule="exact"/>
        <w:ind w:firstLine="640" w:firstLineChars="200"/>
        <w:jc w:val="left"/>
        <w:rPr>
          <w:rFonts w:hint="eastAsia"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color w:val="000000"/>
          <w:kern w:val="0"/>
          <w:sz w:val="32"/>
          <w:szCs w:val="32"/>
          <w:lang w:val="en-US" w:eastAsia="zh-CN" w:bidi="ar"/>
        </w:rPr>
        <w:t>项目开展实施方案依据:阿坝州卫生健康委员会关于印发《阿坝州2025年65周岁及以上老年人免费接种流感疫苗实施方案》的通知。</w:t>
      </w:r>
      <w:r>
        <w:rPr>
          <w:rFonts w:hint="eastAsia" w:ascii="仿宋_GB2312" w:hAnsi="仿宋_GB2312" w:eastAsia="仿宋_GB2312" w:cs="仿宋_GB2312"/>
          <w:color w:val="auto"/>
          <w:kern w:val="0"/>
          <w:sz w:val="32"/>
          <w:szCs w:val="32"/>
          <w:highlight w:val="none"/>
          <w:u w:val="none"/>
          <w:shd w:val="clear" w:color="auto" w:fill="FFFFFF"/>
          <w:lang w:val="en-US" w:eastAsia="zh-CN"/>
        </w:rPr>
        <w:t xml:space="preserve">     </w:t>
      </w:r>
    </w:p>
    <w:p w14:paraId="6251E355">
      <w:pPr>
        <w:keepNext w:val="0"/>
        <w:keepLines w:val="0"/>
        <w:pageBreakBefore w:val="0"/>
        <w:numPr>
          <w:ilvl w:val="0"/>
          <w:numId w:val="1"/>
        </w:numPr>
        <w:kinsoku/>
        <w:wordWrap/>
        <w:overflowPunct/>
        <w:topLinePunct w:val="0"/>
        <w:autoSpaceDE/>
        <w:autoSpaceDN/>
        <w:bidi w:val="0"/>
        <w:adjustRightInd w:val="0"/>
        <w:snapToGrid w:val="0"/>
        <w:spacing w:line="560" w:lineRule="exact"/>
        <w:ind w:left="0" w:leftChars="0" w:firstLine="643" w:firstLineChars="200"/>
        <w:textAlignment w:val="auto"/>
        <w:rPr>
          <w:rFonts w:hint="eastAsia" w:ascii="楷体_GB2312" w:hAnsi="宋体" w:eastAsia="楷体_GB2312" w:cs="Times New Roman"/>
          <w:b/>
          <w:color w:val="auto"/>
          <w:sz w:val="32"/>
          <w:szCs w:val="32"/>
          <w:highlight w:val="none"/>
          <w:u w:val="none"/>
          <w:lang w:val="zh-CN" w:eastAsia="zh-CN"/>
        </w:rPr>
      </w:pPr>
      <w:r>
        <w:rPr>
          <w:rFonts w:hint="eastAsia" w:ascii="楷体_GB2312" w:hAnsi="宋体" w:eastAsia="楷体_GB2312" w:cs="Times New Roman"/>
          <w:b/>
          <w:color w:val="auto"/>
          <w:sz w:val="32"/>
          <w:szCs w:val="32"/>
          <w:highlight w:val="none"/>
          <w:u w:val="none"/>
          <w:lang w:val="zh-CN" w:eastAsia="zh-CN"/>
        </w:rPr>
        <w:t>项目绩效目标设置</w:t>
      </w:r>
    </w:p>
    <w:p w14:paraId="2B53A3A0">
      <w:pPr>
        <w:keepNext w:val="0"/>
        <w:keepLines w:val="0"/>
        <w:pageBreakBefore w:val="0"/>
        <w:widowControl/>
        <w:suppressLineNumbers w:val="0"/>
        <w:kinsoku/>
        <w:wordWrap/>
        <w:overflowPunct/>
        <w:topLinePunct w:val="0"/>
        <w:autoSpaceDN/>
        <w:bidi w:val="0"/>
        <w:spacing w:line="560" w:lineRule="exact"/>
        <w:ind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2025年度，我中心下达流感疫苗接种项目资金共计1.77万元，截至2025年12月31日，完成资金列支资金共计1.77万元，资金执行率达100%。</w:t>
      </w:r>
    </w:p>
    <w:p w14:paraId="5222B251">
      <w:pPr>
        <w:keepNext w:val="0"/>
        <w:keepLines w:val="0"/>
        <w:pageBreakBefore w:val="0"/>
        <w:widowControl/>
        <w:suppressLineNumbers w:val="0"/>
        <w:kinsoku/>
        <w:wordWrap/>
        <w:overflowPunct/>
        <w:topLinePunct w:val="0"/>
        <w:autoSpaceDN/>
        <w:bidi w:val="0"/>
        <w:spacing w:line="560" w:lineRule="exact"/>
        <w:ind w:firstLine="640" w:firstLineChars="200"/>
        <w:jc w:val="left"/>
        <w:rPr>
          <w:rFonts w:hint="default"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数量指标：完成流感接种疫苗人数150人。</w:t>
      </w:r>
    </w:p>
    <w:p w14:paraId="33151E1F">
      <w:pPr>
        <w:keepNext w:val="0"/>
        <w:keepLines w:val="0"/>
        <w:pageBreakBefore w:val="0"/>
        <w:widowControl/>
        <w:suppressLineNumbers w:val="0"/>
        <w:kinsoku/>
        <w:wordWrap/>
        <w:overflowPunct/>
        <w:topLinePunct w:val="0"/>
        <w:autoSpaceDN/>
        <w:bidi w:val="0"/>
        <w:spacing w:line="560" w:lineRule="exact"/>
        <w:ind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时效指标：2025年12月底完成接种。</w:t>
      </w:r>
    </w:p>
    <w:p w14:paraId="5B9A548B">
      <w:pPr>
        <w:keepNext w:val="0"/>
        <w:keepLines w:val="0"/>
        <w:pageBreakBefore w:val="0"/>
        <w:widowControl/>
        <w:suppressLineNumbers w:val="0"/>
        <w:kinsoku/>
        <w:wordWrap/>
        <w:overflowPunct/>
        <w:topLinePunct w:val="0"/>
        <w:autoSpaceDN/>
        <w:bidi w:val="0"/>
        <w:spacing w:line="560" w:lineRule="exact"/>
        <w:ind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经济效益指标：疫苗费98元/剂次。</w:t>
      </w:r>
    </w:p>
    <w:p w14:paraId="45E93D42">
      <w:pPr>
        <w:keepNext w:val="0"/>
        <w:keepLines w:val="0"/>
        <w:pageBreakBefore w:val="0"/>
        <w:widowControl/>
        <w:suppressLineNumbers w:val="0"/>
        <w:kinsoku/>
        <w:wordWrap/>
        <w:overflowPunct/>
        <w:topLinePunct w:val="0"/>
        <w:autoSpaceDN/>
        <w:bidi w:val="0"/>
        <w:spacing w:line="560" w:lineRule="exact"/>
        <w:ind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社会效益指标：保障 65 周岁及以上老年人身体健康。</w:t>
      </w:r>
    </w:p>
    <w:p w14:paraId="0FC761D5">
      <w:pPr>
        <w:keepNext w:val="0"/>
        <w:keepLines w:val="0"/>
        <w:pageBreakBefore w:val="0"/>
        <w:widowControl/>
        <w:suppressLineNumbers w:val="0"/>
        <w:kinsoku/>
        <w:wordWrap/>
        <w:overflowPunct/>
        <w:topLinePunct w:val="0"/>
        <w:autoSpaceDN/>
        <w:bidi w:val="0"/>
        <w:spacing w:line="560" w:lineRule="exact"/>
        <w:ind w:firstLine="640" w:firstLineChars="200"/>
        <w:jc w:val="left"/>
        <w:rPr>
          <w:rFonts w:hint="default"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服务对象满意度：服务对象满意度指标</w:t>
      </w:r>
      <w:r>
        <w:rPr>
          <w:rFonts w:hint="default" w:ascii="仿宋_GB2312" w:hAnsi="仿宋_GB2312" w:eastAsia="仿宋_GB2312" w:cs="仿宋_GB2312"/>
          <w:color w:val="000000"/>
          <w:kern w:val="0"/>
          <w:sz w:val="32"/>
          <w:szCs w:val="32"/>
          <w:lang w:val="en-US" w:eastAsia="zh-CN" w:bidi="ar"/>
        </w:rPr>
        <w:t>≥</w:t>
      </w:r>
      <w:r>
        <w:rPr>
          <w:rFonts w:hint="eastAsia" w:ascii="仿宋_GB2312" w:hAnsi="仿宋_GB2312" w:eastAsia="仿宋_GB2312" w:cs="仿宋_GB2312"/>
          <w:color w:val="000000"/>
          <w:kern w:val="0"/>
          <w:sz w:val="32"/>
          <w:szCs w:val="32"/>
          <w:lang w:val="en-US" w:eastAsia="zh-CN" w:bidi="ar"/>
        </w:rPr>
        <w:t>95%。</w:t>
      </w:r>
    </w:p>
    <w:p w14:paraId="48C2A4E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黑体" w:hAnsi="宋体" w:eastAsia="黑体" w:cs="Times New Roman"/>
          <w:sz w:val="32"/>
          <w:szCs w:val="32"/>
          <w:highlight w:val="none"/>
          <w:lang w:eastAsia="zh-CN"/>
        </w:rPr>
      </w:pPr>
      <w:r>
        <w:rPr>
          <w:rFonts w:hint="eastAsia" w:ascii="黑体" w:hAnsi="宋体" w:eastAsia="黑体" w:cs="Times New Roman"/>
          <w:sz w:val="32"/>
          <w:szCs w:val="32"/>
          <w:highlight w:val="none"/>
        </w:rPr>
        <w:t>二、</w:t>
      </w:r>
      <w:r>
        <w:rPr>
          <w:rFonts w:hint="eastAsia" w:ascii="黑体" w:hAnsi="宋体" w:eastAsia="黑体" w:cs="Times New Roman"/>
          <w:sz w:val="32"/>
          <w:szCs w:val="32"/>
          <w:highlight w:val="none"/>
          <w:lang w:eastAsia="zh-CN"/>
        </w:rPr>
        <w:t>评价实施</w:t>
      </w:r>
    </w:p>
    <w:p w14:paraId="009FA4EC">
      <w:pPr>
        <w:keepNext w:val="0"/>
        <w:keepLines w:val="0"/>
        <w:pageBreakBefore w:val="0"/>
        <w:widowControl w:val="0"/>
        <w:kinsoku/>
        <w:wordWrap/>
        <w:overflowPunct/>
        <w:topLinePunct w:val="0"/>
        <w:autoSpaceDE/>
        <w:autoSpaceDN/>
        <w:bidi w:val="0"/>
        <w:spacing w:line="560" w:lineRule="exact"/>
        <w:ind w:firstLine="640"/>
        <w:textAlignment w:val="auto"/>
        <w:outlineLvl w:val="9"/>
        <w:rPr>
          <w:rFonts w:hint="eastAsia" w:ascii="楷体_GB2312" w:hAnsi="宋体" w:eastAsia="楷体_GB2312" w:cs="Times New Roman"/>
          <w:b/>
          <w:color w:val="auto"/>
          <w:sz w:val="32"/>
          <w:szCs w:val="32"/>
          <w:highlight w:val="none"/>
          <w:u w:val="none"/>
          <w:lang w:val="zh-CN"/>
        </w:rPr>
      </w:pPr>
      <w:r>
        <w:rPr>
          <w:rFonts w:hint="eastAsia" w:ascii="楷体_GB2312" w:hAnsi="宋体" w:eastAsia="楷体_GB2312" w:cs="Times New Roman"/>
          <w:b/>
          <w:color w:val="auto"/>
          <w:sz w:val="32"/>
          <w:szCs w:val="32"/>
          <w:highlight w:val="none"/>
          <w:u w:val="none"/>
          <w:lang w:val="zh-CN"/>
        </w:rPr>
        <w:t>（一）评价目的</w:t>
      </w:r>
    </w:p>
    <w:p w14:paraId="29C5697A">
      <w:pPr>
        <w:keepNext w:val="0"/>
        <w:keepLines w:val="0"/>
        <w:pageBreakBefore w:val="0"/>
        <w:widowControl w:val="0"/>
        <w:kinsoku/>
        <w:wordWrap/>
        <w:overflowPunct/>
        <w:topLinePunct w:val="0"/>
        <w:autoSpaceDE/>
        <w:autoSpaceDN/>
        <w:bidi w:val="0"/>
        <w:spacing w:line="560" w:lineRule="exact"/>
        <w:ind w:firstLine="640" w:firstLineChars="200"/>
        <w:textAlignment w:val="auto"/>
        <w:outlineLvl w:val="9"/>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zh-CN" w:eastAsia="zh-CN"/>
        </w:rPr>
        <w:t>通过项目绩效自评，确定项目开展效果，项目开展内容是否达到上级部门下达的指标要求。</w:t>
      </w:r>
    </w:p>
    <w:p w14:paraId="1F1FDCDC">
      <w:pPr>
        <w:keepNext w:val="0"/>
        <w:keepLines w:val="0"/>
        <w:pageBreakBefore w:val="0"/>
        <w:widowControl w:val="0"/>
        <w:numPr>
          <w:ilvl w:val="0"/>
          <w:numId w:val="2"/>
        </w:numPr>
        <w:kinsoku/>
        <w:wordWrap/>
        <w:overflowPunct/>
        <w:topLinePunct w:val="0"/>
        <w:autoSpaceDE/>
        <w:autoSpaceDN/>
        <w:bidi w:val="0"/>
        <w:adjustRightInd w:val="0"/>
        <w:snapToGrid w:val="0"/>
        <w:spacing w:line="560" w:lineRule="exact"/>
        <w:ind w:left="0" w:leftChars="0" w:firstLine="643" w:firstLineChars="200"/>
        <w:textAlignment w:val="auto"/>
        <w:outlineLvl w:val="9"/>
        <w:rPr>
          <w:rFonts w:hint="eastAsia" w:ascii="楷体_GB2312" w:hAnsi="宋体" w:eastAsia="楷体_GB2312" w:cs="Times New Roman"/>
          <w:b/>
          <w:color w:val="auto"/>
          <w:sz w:val="32"/>
          <w:szCs w:val="32"/>
          <w:highlight w:val="none"/>
          <w:u w:val="none"/>
          <w:lang w:val="zh-CN"/>
        </w:rPr>
      </w:pPr>
      <w:r>
        <w:rPr>
          <w:rFonts w:hint="eastAsia" w:ascii="楷体_GB2312" w:hAnsi="宋体" w:eastAsia="楷体_GB2312" w:cs="Times New Roman"/>
          <w:b/>
          <w:color w:val="auto"/>
          <w:sz w:val="32"/>
          <w:szCs w:val="32"/>
          <w:highlight w:val="none"/>
          <w:u w:val="none"/>
          <w:lang w:val="zh-CN"/>
        </w:rPr>
        <w:t>预设问题及评价重点</w:t>
      </w:r>
    </w:p>
    <w:p w14:paraId="60A14F32">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outlineLvl w:val="9"/>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按照绩效评价指标体系，中心从通用指标、专用指标及个性指标对项目开展了绩效评价工作。该项目资金支出使用全过程符合流感疫苗接种项目资金实施方案要求，全部用于流感疫苗接种项目</w:t>
      </w:r>
      <w:r>
        <w:rPr>
          <w:rFonts w:hint="eastAsia" w:ascii="Times New Roman" w:hAnsi="Times New Roman" w:eastAsia="仿宋_GB2312" w:cs="Times New Roman"/>
          <w:sz w:val="32"/>
          <w:szCs w:val="32"/>
          <w:lang w:val="en-US" w:eastAsia="zh-CN"/>
        </w:rPr>
        <w:t>，实施效果与预计效果相符。</w:t>
      </w:r>
    </w:p>
    <w:p w14:paraId="7E7027F4">
      <w:pPr>
        <w:keepNext w:val="0"/>
        <w:keepLines w:val="0"/>
        <w:pageBreakBefore w:val="0"/>
        <w:widowControl w:val="0"/>
        <w:numPr>
          <w:ilvl w:val="0"/>
          <w:numId w:val="2"/>
        </w:numPr>
        <w:kinsoku/>
        <w:wordWrap/>
        <w:overflowPunct/>
        <w:topLinePunct w:val="0"/>
        <w:autoSpaceDE/>
        <w:autoSpaceDN/>
        <w:bidi w:val="0"/>
        <w:adjustRightInd w:val="0"/>
        <w:snapToGrid w:val="0"/>
        <w:spacing w:line="560" w:lineRule="exact"/>
        <w:ind w:left="0" w:leftChars="0" w:firstLine="643" w:firstLineChars="200"/>
        <w:textAlignment w:val="auto"/>
        <w:outlineLvl w:val="9"/>
        <w:rPr>
          <w:rFonts w:hint="eastAsia" w:ascii="楷体_GB2312" w:hAnsi="宋体" w:eastAsia="楷体_GB2312" w:cs="Times New Roman"/>
          <w:b/>
          <w:color w:val="auto"/>
          <w:sz w:val="32"/>
          <w:szCs w:val="32"/>
          <w:highlight w:val="none"/>
          <w:u w:val="none"/>
          <w:lang w:val="zh-CN"/>
        </w:rPr>
      </w:pPr>
      <w:r>
        <w:rPr>
          <w:rFonts w:hint="eastAsia" w:ascii="楷体_GB2312" w:hAnsi="宋体" w:eastAsia="楷体_GB2312" w:cs="Times New Roman"/>
          <w:b/>
          <w:color w:val="auto"/>
          <w:sz w:val="32"/>
          <w:szCs w:val="32"/>
          <w:highlight w:val="none"/>
          <w:u w:val="none"/>
          <w:lang w:val="zh-CN"/>
        </w:rPr>
        <w:t>评价选点</w:t>
      </w:r>
    </w:p>
    <w:p w14:paraId="63FDF130">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outlineLvl w:val="9"/>
        <w:rPr>
          <w:rFonts w:hint="eastAsia" w:ascii="仿宋_GB2312" w:hAnsi="仿宋_GB2312" w:eastAsia="仿宋_GB2312" w:cs="仿宋_GB2312"/>
          <w:color w:val="auto"/>
          <w:kern w:val="0"/>
          <w:sz w:val="32"/>
          <w:szCs w:val="32"/>
          <w:highlight w:val="none"/>
          <w:u w:val="none"/>
          <w:shd w:val="clear" w:color="auto" w:fill="FFFFFF"/>
          <w:lang w:val="en-US" w:eastAsia="zh-CN"/>
        </w:rPr>
      </w:pPr>
      <w:r>
        <w:rPr>
          <w:rFonts w:hint="eastAsia" w:ascii="Times New Roman" w:hAnsi="Times New Roman" w:eastAsia="仿宋_GB2312" w:cs="Times New Roman"/>
          <w:sz w:val="32"/>
          <w:szCs w:val="32"/>
          <w:lang w:val="zh-CN" w:eastAsia="zh-CN"/>
        </w:rPr>
        <w:t>项目绩效自评主要通过抽取</w:t>
      </w:r>
      <w:r>
        <w:rPr>
          <w:rFonts w:hint="eastAsia" w:ascii="Times New Roman" w:hAnsi="Times New Roman" w:eastAsia="仿宋_GB2312" w:cs="Times New Roman"/>
          <w:sz w:val="32"/>
          <w:szCs w:val="32"/>
          <w:lang w:val="en-US" w:eastAsia="zh-CN"/>
        </w:rPr>
        <w:t>2025年资金拨付凭证来进行自评工作，通过核查中心拨付凭证，确定了项目资金的确用于流感疫苗接种项目。</w:t>
      </w:r>
    </w:p>
    <w:p w14:paraId="316932D1">
      <w:pPr>
        <w:keepNext w:val="0"/>
        <w:keepLines w:val="0"/>
        <w:pageBreakBefore w:val="0"/>
        <w:widowControl w:val="0"/>
        <w:numPr>
          <w:ilvl w:val="0"/>
          <w:numId w:val="2"/>
        </w:numPr>
        <w:kinsoku/>
        <w:wordWrap/>
        <w:overflowPunct/>
        <w:topLinePunct w:val="0"/>
        <w:autoSpaceDE/>
        <w:autoSpaceDN/>
        <w:bidi w:val="0"/>
        <w:adjustRightInd w:val="0"/>
        <w:snapToGrid w:val="0"/>
        <w:spacing w:line="560" w:lineRule="exact"/>
        <w:ind w:left="0" w:leftChars="0" w:firstLine="643" w:firstLineChars="200"/>
        <w:textAlignment w:val="auto"/>
        <w:outlineLvl w:val="9"/>
        <w:rPr>
          <w:rFonts w:hint="eastAsia" w:ascii="楷体_GB2312" w:hAnsi="宋体" w:eastAsia="楷体_GB2312" w:cs="Times New Roman"/>
          <w:b/>
          <w:color w:val="auto"/>
          <w:sz w:val="32"/>
          <w:szCs w:val="32"/>
          <w:highlight w:val="none"/>
          <w:u w:val="none"/>
          <w:lang w:val="zh-CN"/>
        </w:rPr>
      </w:pPr>
      <w:r>
        <w:rPr>
          <w:rFonts w:hint="eastAsia" w:ascii="楷体_GB2312" w:hAnsi="宋体" w:eastAsia="楷体_GB2312" w:cs="Times New Roman"/>
          <w:b/>
          <w:color w:val="auto"/>
          <w:sz w:val="32"/>
          <w:szCs w:val="32"/>
          <w:highlight w:val="none"/>
          <w:u w:val="none"/>
          <w:lang w:val="zh-CN"/>
        </w:rPr>
        <w:t>评价方法</w:t>
      </w:r>
    </w:p>
    <w:p w14:paraId="71C02EDF">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outlineLvl w:val="9"/>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由于该专项资金主要用于涉及民生保障，资金用途明确。我中心采用单位自评法、实地勘察法对项目进行自评工作。</w:t>
      </w:r>
    </w:p>
    <w:p w14:paraId="2CAFFC71">
      <w:pPr>
        <w:keepNext w:val="0"/>
        <w:keepLines w:val="0"/>
        <w:pageBreakBefore w:val="0"/>
        <w:widowControl w:val="0"/>
        <w:numPr>
          <w:ilvl w:val="0"/>
          <w:numId w:val="2"/>
        </w:numPr>
        <w:kinsoku/>
        <w:wordWrap/>
        <w:overflowPunct/>
        <w:topLinePunct w:val="0"/>
        <w:autoSpaceDE/>
        <w:autoSpaceDN/>
        <w:bidi w:val="0"/>
        <w:spacing w:line="560" w:lineRule="exact"/>
        <w:ind w:left="0" w:leftChars="0" w:firstLine="643" w:firstLineChars="200"/>
        <w:textAlignment w:val="auto"/>
        <w:outlineLvl w:val="9"/>
        <w:rPr>
          <w:rFonts w:hint="eastAsia" w:ascii="楷体_GB2312" w:hAnsi="宋体" w:eastAsia="楷体_GB2312" w:cs="Times New Roman"/>
          <w:b/>
          <w:color w:val="auto"/>
          <w:sz w:val="32"/>
          <w:szCs w:val="32"/>
          <w:highlight w:val="none"/>
          <w:u w:val="none"/>
          <w:lang w:val="zh-CN"/>
        </w:rPr>
      </w:pPr>
      <w:r>
        <w:rPr>
          <w:rFonts w:hint="eastAsia" w:ascii="楷体_GB2312" w:hAnsi="宋体" w:eastAsia="楷体_GB2312" w:cs="Times New Roman"/>
          <w:b/>
          <w:color w:val="auto"/>
          <w:sz w:val="32"/>
          <w:szCs w:val="32"/>
          <w:highlight w:val="none"/>
          <w:u w:val="none"/>
          <w:lang w:val="zh-CN"/>
        </w:rPr>
        <w:t>评价组织</w:t>
      </w:r>
    </w:p>
    <w:p w14:paraId="5D10F8C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评价组人员构成如下：</w:t>
      </w:r>
    </w:p>
    <w:p w14:paraId="5B8ACC1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组长：</w:t>
      </w:r>
      <w:r>
        <w:rPr>
          <w:rFonts w:hint="eastAsia" w:ascii="Times New Roman" w:hAnsi="Times New Roman" w:eastAsia="仿宋_GB2312" w:cs="Times New Roman"/>
          <w:kern w:val="2"/>
          <w:sz w:val="32"/>
          <w:szCs w:val="32"/>
          <w:lang w:val="zh-CN" w:eastAsia="zh-CN" w:bidi="ar-SA"/>
        </w:rPr>
        <w:t>郭成慧</w:t>
      </w:r>
      <w:r>
        <w:rPr>
          <w:rFonts w:hint="eastAsia" w:ascii="Times New Roman" w:hAnsi="Times New Roman" w:eastAsia="仿宋_GB2312" w:cs="Times New Roman"/>
          <w:kern w:val="2"/>
          <w:sz w:val="32"/>
          <w:szCs w:val="32"/>
          <w:lang w:val="en-US" w:eastAsia="zh-CN" w:bidi="ar-SA"/>
        </w:rPr>
        <w:t xml:space="preserve">  指导中心主任 负责全面评价工作</w:t>
      </w:r>
    </w:p>
    <w:p w14:paraId="7F7D8C6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成员：</w:t>
      </w:r>
      <w:r>
        <w:rPr>
          <w:rFonts w:hint="eastAsia" w:ascii="Times New Roman" w:hAnsi="Times New Roman" w:eastAsia="仿宋_GB2312" w:cs="Times New Roman"/>
          <w:kern w:val="2"/>
          <w:sz w:val="32"/>
          <w:szCs w:val="32"/>
          <w:lang w:val="en-US" w:eastAsia="zh-CN" w:bidi="ar-SA"/>
        </w:rPr>
        <w:t xml:space="preserve">桑基忠 </w:t>
      </w:r>
      <w:r>
        <w:rPr>
          <w:rFonts w:hint="eastAsia" w:ascii="Times New Roman" w:hAnsi="Times New Roman" w:eastAsia="仿宋_GB2312" w:cs="Times New Roman"/>
          <w:sz w:val="32"/>
          <w:szCs w:val="32"/>
          <w:lang w:val="en-US" w:eastAsia="zh-CN"/>
        </w:rPr>
        <w:t xml:space="preserve"> 负责财务相关评价工作</w:t>
      </w:r>
    </w:p>
    <w:p w14:paraId="1F3081A6">
      <w:pPr>
        <w:pageBreakBefore w:val="0"/>
        <w:kinsoku/>
        <w:wordWrap/>
        <w:overflowPunct/>
        <w:topLinePunct w:val="0"/>
        <w:autoSpaceDN/>
        <w:bidi w:val="0"/>
        <w:spacing w:line="560" w:lineRule="exact"/>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      罗琼英  负责2025年评价总体相关评价工作</w:t>
      </w:r>
    </w:p>
    <w:p w14:paraId="46D1A1D2">
      <w:pPr>
        <w:pageBreakBefore w:val="0"/>
        <w:widowControl w:val="0"/>
        <w:kinsoku/>
        <w:wordWrap/>
        <w:overflowPunct/>
        <w:topLinePunct w:val="0"/>
        <w:autoSpaceDN/>
        <w:bidi w:val="0"/>
        <w:spacing w:line="560" w:lineRule="exact"/>
        <w:ind w:left="0" w:leftChars="0" w:firstLine="1600" w:firstLineChars="500"/>
        <w:jc w:val="both"/>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 xml:space="preserve">泽若满  负责2025年执行机构绩效评价工作 </w:t>
      </w:r>
    </w:p>
    <w:p w14:paraId="375DBCC8">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outlineLvl w:val="9"/>
        <w:rPr>
          <w:rFonts w:ascii="仿宋_GB2312" w:hAnsi="宋体" w:eastAsia="仿宋_GB2312" w:cs="Times New Roman"/>
          <w:color w:val="auto"/>
          <w:sz w:val="32"/>
          <w:szCs w:val="32"/>
          <w:highlight w:val="none"/>
          <w:u w:val="none"/>
          <w:lang w:val="zh-CN"/>
        </w:rPr>
      </w:pPr>
      <w:r>
        <w:rPr>
          <w:rFonts w:hint="eastAsia" w:ascii="黑体" w:hAnsi="宋体" w:eastAsia="黑体" w:cs="Times New Roman"/>
          <w:color w:val="auto"/>
          <w:sz w:val="32"/>
          <w:szCs w:val="32"/>
          <w:highlight w:val="none"/>
          <w:u w:val="none"/>
        </w:rPr>
        <w:t>三、</w:t>
      </w:r>
      <w:r>
        <w:rPr>
          <w:rFonts w:hint="eastAsia" w:ascii="黑体" w:hAnsi="宋体" w:eastAsia="黑体" w:cs="Times New Roman"/>
          <w:color w:val="auto"/>
          <w:sz w:val="32"/>
          <w:szCs w:val="32"/>
          <w:highlight w:val="none"/>
          <w:u w:val="none"/>
          <w:lang w:eastAsia="zh-CN"/>
        </w:rPr>
        <w:t>绩效分析</w:t>
      </w:r>
      <w:r>
        <w:rPr>
          <w:rFonts w:hint="eastAsia" w:ascii="仿宋_GB2312" w:hAnsi="宋体" w:eastAsia="仿宋_GB2312" w:cs="Times New Roman"/>
          <w:color w:val="auto"/>
          <w:sz w:val="32"/>
          <w:szCs w:val="32"/>
          <w:highlight w:val="none"/>
          <w:u w:val="none"/>
          <w:lang w:val="zh-CN"/>
        </w:rPr>
        <w:tab/>
      </w:r>
    </w:p>
    <w:p w14:paraId="7E138080">
      <w:pPr>
        <w:keepNext w:val="0"/>
        <w:keepLines w:val="0"/>
        <w:pageBreakBefore w:val="0"/>
        <w:widowControl w:val="0"/>
        <w:kinsoku/>
        <w:wordWrap/>
        <w:overflowPunct/>
        <w:topLinePunct w:val="0"/>
        <w:autoSpaceDE/>
        <w:autoSpaceDN/>
        <w:bidi w:val="0"/>
        <w:spacing w:line="560" w:lineRule="exact"/>
        <w:ind w:firstLine="640"/>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zh-CN" w:eastAsia="zh-CN"/>
        </w:rPr>
        <w:t>中心</w:t>
      </w:r>
      <w:r>
        <w:rPr>
          <w:rFonts w:hint="default" w:ascii="Times New Roman" w:hAnsi="Times New Roman" w:eastAsia="仿宋_GB2312" w:cs="Times New Roman"/>
          <w:sz w:val="32"/>
          <w:szCs w:val="32"/>
          <w:lang w:val="zh-CN" w:eastAsia="zh-CN"/>
        </w:rPr>
        <w:t>根据</w:t>
      </w:r>
      <w:r>
        <w:rPr>
          <w:rFonts w:hint="eastAsia" w:ascii="Times New Roman" w:hAnsi="Times New Roman" w:eastAsia="仿宋_GB2312" w:cs="Times New Roman"/>
          <w:sz w:val="32"/>
          <w:szCs w:val="32"/>
          <w:lang w:val="zh-CN" w:eastAsia="zh-CN"/>
        </w:rPr>
        <w:t>项目</w:t>
      </w:r>
      <w:r>
        <w:rPr>
          <w:rFonts w:hint="default" w:ascii="Times New Roman" w:hAnsi="Times New Roman" w:eastAsia="仿宋_GB2312" w:cs="Times New Roman"/>
          <w:sz w:val="32"/>
          <w:szCs w:val="32"/>
          <w:lang w:val="zh-CN" w:eastAsia="zh-CN"/>
        </w:rPr>
        <w:t>预算绩效评价指标体系“</w:t>
      </w:r>
      <w:r>
        <w:rPr>
          <w:rFonts w:hint="eastAsia" w:ascii="Times New Roman" w:hAnsi="Times New Roman" w:eastAsia="仿宋_GB2312" w:cs="Times New Roman"/>
          <w:sz w:val="32"/>
          <w:szCs w:val="32"/>
          <w:lang w:val="zh-CN" w:eastAsia="zh-CN"/>
        </w:rPr>
        <w:t>通用指标</w:t>
      </w:r>
      <w:r>
        <w:rPr>
          <w:rFonts w:hint="default" w:ascii="Times New Roman" w:hAnsi="Times New Roman" w:eastAsia="仿宋_GB2312" w:cs="Times New Roman"/>
          <w:sz w:val="32"/>
          <w:szCs w:val="32"/>
          <w:lang w:val="zh-CN" w:eastAsia="zh-CN"/>
        </w:rPr>
        <w:t>”</w:t>
      </w:r>
      <w:r>
        <w:rPr>
          <w:rFonts w:hint="eastAsia" w:ascii="Times New Roman" w:hAnsi="Times New Roman" w:eastAsia="仿宋_GB2312" w:cs="Times New Roman"/>
          <w:sz w:val="32"/>
          <w:szCs w:val="32"/>
          <w:lang w:val="zh-CN" w:eastAsia="zh-CN"/>
        </w:rPr>
        <w:t>“专用指标”“个性指标”三个方面对该项资金进行了全方位自评工作，具体情况如下：</w:t>
      </w:r>
    </w:p>
    <w:p w14:paraId="7B82AFA0">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52.89分</w:t>
      </w:r>
      <w:r>
        <w:rPr>
          <w:rFonts w:hint="eastAsia" w:ascii="Times New Roman" w:hAnsi="Times New Roman" w:eastAsia="楷体_GB2312" w:cs="Times New Roman"/>
          <w:b/>
          <w:bCs/>
          <w:color w:val="000000"/>
          <w:kern w:val="0"/>
          <w:sz w:val="32"/>
          <w:szCs w:val="32"/>
          <w:highlight w:val="none"/>
          <w:shd w:val="clear" w:color="auto" w:fill="FFFFFF"/>
          <w:lang w:val="zh-CN"/>
        </w:rPr>
        <w:t>）</w:t>
      </w:r>
    </w:p>
    <w:p w14:paraId="6EAC8E24">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default"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1.</w:t>
      </w:r>
      <w:r>
        <w:rPr>
          <w:rFonts w:hint="eastAsia" w:ascii="楷体_GB2312" w:hAnsi="楷体_GB2312" w:eastAsia="楷体_GB2312" w:cs="楷体_GB2312"/>
          <w:color w:val="auto"/>
          <w:sz w:val="32"/>
          <w:szCs w:val="32"/>
          <w:lang w:eastAsia="zh-CN"/>
        </w:rPr>
        <w:t>项目决策</w:t>
      </w:r>
      <w:r>
        <w:rPr>
          <w:rFonts w:hint="eastAsia" w:ascii="楷体_GB2312" w:hAnsi="楷体_GB2312" w:eastAsia="楷体_GB2312" w:cs="楷体_GB2312"/>
          <w:color w:val="auto"/>
          <w:sz w:val="32"/>
          <w:szCs w:val="32"/>
          <w:lang w:val="en-US" w:eastAsia="zh-CN"/>
        </w:rPr>
        <w:t>(18分）</w:t>
      </w:r>
    </w:p>
    <w:p w14:paraId="0AE59EA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000000"/>
          <w:kern w:val="0"/>
          <w:sz w:val="32"/>
          <w:szCs w:val="32"/>
          <w:lang w:val="en-US" w:eastAsia="zh-CN" w:bidi="ar"/>
        </w:rPr>
      </w:pPr>
      <w:r>
        <w:rPr>
          <w:rFonts w:hint="eastAsia" w:ascii="Times New Roman" w:hAnsi="Times New Roman" w:eastAsia="仿宋_GB2312" w:cs="Times New Roman"/>
          <w:color w:val="auto"/>
          <w:sz w:val="32"/>
          <w:szCs w:val="32"/>
          <w:lang w:eastAsia="zh-CN"/>
        </w:rPr>
        <w:t>决策程序（</w:t>
      </w:r>
      <w:r>
        <w:rPr>
          <w:rFonts w:hint="eastAsia" w:ascii="Times New Roman" w:hAnsi="Times New Roman" w:eastAsia="仿宋_GB2312" w:cs="Times New Roman"/>
          <w:color w:val="auto"/>
          <w:sz w:val="32"/>
          <w:szCs w:val="32"/>
          <w:lang w:val="en-US" w:eastAsia="zh-CN"/>
        </w:rPr>
        <w:t>6分）</w:t>
      </w:r>
      <w:r>
        <w:rPr>
          <w:rFonts w:hint="eastAsia" w:ascii="Times New Roman" w:hAnsi="Times New Roman" w:eastAsia="仿宋_GB2312" w:cs="Times New Roman"/>
          <w:color w:val="auto"/>
          <w:sz w:val="32"/>
          <w:szCs w:val="32"/>
          <w:lang w:eastAsia="zh-CN"/>
        </w:rPr>
        <w:t>：项目设立、调整延续等方面符合资金管理基本规范和决策程序要求。项目设立依据</w:t>
      </w:r>
      <w:r>
        <w:rPr>
          <w:rFonts w:hint="eastAsia" w:ascii="仿宋_GB2312" w:hAnsi="仿宋_GB2312" w:eastAsia="仿宋_GB2312" w:cs="仿宋_GB2312"/>
          <w:color w:val="000000"/>
          <w:kern w:val="0"/>
          <w:sz w:val="32"/>
          <w:szCs w:val="32"/>
          <w:lang w:val="en-US" w:eastAsia="zh-CN" w:bidi="ar"/>
        </w:rPr>
        <w:t>《阿坝州卫生健康委员会关于印发&lt;阿坝州2025年65周岁及以上老年人免费接种流感疫苗实施方案&gt;的通知》。</w:t>
      </w:r>
    </w:p>
    <w:p w14:paraId="53D33F1E">
      <w:pPr>
        <w:keepNext w:val="0"/>
        <w:keepLines w:val="0"/>
        <w:pageBreakBefore w:val="0"/>
        <w:widowControl/>
        <w:suppressLineNumbers w:val="0"/>
        <w:kinsoku/>
        <w:wordWrap/>
        <w:overflowPunct/>
        <w:topLinePunct w:val="0"/>
        <w:autoSpaceDN/>
        <w:bidi w:val="0"/>
        <w:spacing w:line="560" w:lineRule="exact"/>
        <w:ind w:firstLine="640" w:firstLineChars="200"/>
        <w:jc w:val="left"/>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规划论证（</w:t>
      </w:r>
      <w:r>
        <w:rPr>
          <w:rFonts w:hint="eastAsia" w:ascii="Times New Roman" w:hAnsi="Times New Roman" w:eastAsia="仿宋_GB2312" w:cs="Times New Roman"/>
          <w:color w:val="auto"/>
          <w:sz w:val="32"/>
          <w:szCs w:val="32"/>
          <w:lang w:val="en-US" w:eastAsia="zh-CN"/>
        </w:rPr>
        <w:t>6分）</w:t>
      </w:r>
      <w:r>
        <w:rPr>
          <w:rFonts w:hint="eastAsia" w:ascii="Times New Roman" w:hAnsi="Times New Roman" w:eastAsia="仿宋_GB2312" w:cs="Times New Roman"/>
          <w:color w:val="auto"/>
          <w:sz w:val="32"/>
          <w:szCs w:val="32"/>
          <w:lang w:eastAsia="zh-CN"/>
        </w:rPr>
        <w:t>：项目规划符合</w:t>
      </w:r>
      <w:r>
        <w:rPr>
          <w:rFonts w:hint="eastAsia" w:ascii="仿宋_GB2312" w:hAnsi="仿宋_GB2312" w:eastAsia="仿宋_GB2312" w:cs="仿宋_GB2312"/>
          <w:color w:val="000000"/>
          <w:kern w:val="0"/>
          <w:sz w:val="32"/>
          <w:szCs w:val="32"/>
          <w:lang w:val="en-US" w:eastAsia="zh-CN" w:bidi="ar"/>
        </w:rPr>
        <w:t>《黑水县卫生健康局关于解决65周岁及以上老年人流感疫苗采购资金及接种服务费的请示》黑卫健</w:t>
      </w:r>
      <w:r>
        <w:rPr>
          <w:rFonts w:ascii="仿宋_GB2312" w:hAnsi="仿宋_GB2312" w:eastAsia="仿宋_GB2312" w:cs="仿宋_GB2312"/>
          <w:color w:val="000000"/>
          <w:kern w:val="0"/>
          <w:sz w:val="32"/>
          <w:szCs w:val="32"/>
          <w:lang w:val="en-US" w:eastAsia="zh-CN" w:bidi="ar"/>
        </w:rPr>
        <w:t>〔</w:t>
      </w:r>
      <w:r>
        <w:rPr>
          <w:rFonts w:hint="default" w:ascii="仿宋_GB2312" w:hAnsi="仿宋_GB2312" w:eastAsia="仿宋_GB2312" w:cs="仿宋_GB2312"/>
          <w:color w:val="000000"/>
          <w:kern w:val="0"/>
          <w:sz w:val="32"/>
          <w:szCs w:val="32"/>
          <w:lang w:val="en-US" w:eastAsia="zh-CN" w:bidi="ar"/>
        </w:rPr>
        <w:t>202</w:t>
      </w:r>
      <w:r>
        <w:rPr>
          <w:rFonts w:hint="eastAsia" w:ascii="仿宋_GB2312" w:hAnsi="仿宋_GB2312" w:eastAsia="仿宋_GB2312" w:cs="仿宋_GB2312"/>
          <w:color w:val="000000"/>
          <w:kern w:val="0"/>
          <w:sz w:val="32"/>
          <w:szCs w:val="32"/>
          <w:lang w:val="en-US" w:eastAsia="zh-CN" w:bidi="ar"/>
        </w:rPr>
        <w:t>5</w:t>
      </w:r>
      <w:r>
        <w:rPr>
          <w:rFonts w:ascii="仿宋_GB2312" w:hAnsi="仿宋_GB2312" w:eastAsia="仿宋_GB2312" w:cs="仿宋_GB2312"/>
          <w:color w:val="000000"/>
          <w:kern w:val="0"/>
          <w:sz w:val="32"/>
          <w:szCs w:val="32"/>
          <w:lang w:val="en-US" w:eastAsia="zh-CN" w:bidi="ar"/>
        </w:rPr>
        <w:t>〕</w:t>
      </w:r>
      <w:r>
        <w:rPr>
          <w:rFonts w:hint="eastAsia" w:ascii="仿宋_GB2312" w:hAnsi="仿宋_GB2312" w:eastAsia="仿宋_GB2312" w:cs="仿宋_GB2312"/>
          <w:color w:val="000000"/>
          <w:kern w:val="0"/>
          <w:sz w:val="32"/>
          <w:szCs w:val="32"/>
          <w:lang w:val="en-US" w:eastAsia="zh-CN" w:bidi="ar"/>
        </w:rPr>
        <w:t>68号</w:t>
      </w:r>
      <w:r>
        <w:rPr>
          <w:rFonts w:hint="eastAsia" w:ascii="仿宋_GB2312" w:hAnsi="仿宋_GB2312" w:eastAsia="仿宋_GB2312" w:cs="仿宋_GB2312"/>
          <w:b w:val="0"/>
          <w:bCs w:val="0"/>
          <w:color w:val="000000"/>
          <w:sz w:val="31"/>
          <w:szCs w:val="31"/>
          <w:lang w:eastAsia="zh-CN"/>
        </w:rPr>
        <w:t>文件要求</w:t>
      </w:r>
      <w:r>
        <w:rPr>
          <w:rFonts w:hint="eastAsia" w:ascii="Times New Roman" w:hAnsi="Times New Roman" w:eastAsia="仿宋_GB2312" w:cs="Times New Roman"/>
          <w:color w:val="auto"/>
          <w:sz w:val="32"/>
          <w:szCs w:val="32"/>
          <w:lang w:eastAsia="zh-CN"/>
        </w:rPr>
        <w:t>；项目充分评估了论证项目立项必要性、前瞻性、合理性和可行性；项目总体绩效目标设置合理性的偏离度≤</w:t>
      </w:r>
      <w:r>
        <w:rPr>
          <w:rFonts w:hint="eastAsia" w:ascii="Times New Roman" w:hAnsi="Times New Roman" w:eastAsia="仿宋_GB2312" w:cs="Times New Roman"/>
          <w:color w:val="auto"/>
          <w:sz w:val="32"/>
          <w:szCs w:val="32"/>
          <w:lang w:val="en-US" w:eastAsia="zh-CN"/>
        </w:rPr>
        <w:t>0</w:t>
      </w:r>
      <w:r>
        <w:rPr>
          <w:rFonts w:hint="eastAsia" w:ascii="Times New Roman" w:hAnsi="Times New Roman" w:eastAsia="仿宋_GB2312" w:cs="Times New Roman"/>
          <w:color w:val="auto"/>
          <w:sz w:val="32"/>
          <w:szCs w:val="32"/>
          <w:lang w:eastAsia="zh-CN"/>
        </w:rPr>
        <w:t>%；绩效目标科学合理、规范完整、量化细化、预算匹配。</w:t>
      </w:r>
    </w:p>
    <w:p w14:paraId="754436E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资金投向（</w:t>
      </w:r>
      <w:r>
        <w:rPr>
          <w:rFonts w:hint="eastAsia" w:ascii="Times New Roman" w:hAnsi="Times New Roman" w:eastAsia="仿宋_GB2312" w:cs="Times New Roman"/>
          <w:color w:val="auto"/>
          <w:sz w:val="32"/>
          <w:szCs w:val="32"/>
          <w:lang w:val="en-US" w:eastAsia="zh-CN"/>
        </w:rPr>
        <w:t>6分）：该项目</w:t>
      </w:r>
      <w:r>
        <w:rPr>
          <w:rFonts w:hint="eastAsia" w:ascii="Times New Roman" w:hAnsi="Times New Roman" w:eastAsia="仿宋_GB2312" w:cs="Times New Roman"/>
          <w:color w:val="auto"/>
          <w:sz w:val="32"/>
          <w:szCs w:val="32"/>
          <w:lang w:eastAsia="zh-CN"/>
        </w:rPr>
        <w:t>属于政府支持范围，且符合财政事权支出责任划分规定；资金投向与项目总体规划、相关行业事业发展相匹配；聚焦重大任务、重点领域、重点环节和重点项目，体现“集中财力办大事”原则；未与其他同类项目或部门内部相关项目交叉重复。</w:t>
      </w:r>
    </w:p>
    <w:p w14:paraId="5801D41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2.</w:t>
      </w:r>
      <w:r>
        <w:rPr>
          <w:rFonts w:hint="eastAsia" w:ascii="楷体_GB2312" w:hAnsi="楷体_GB2312" w:eastAsia="楷体_GB2312" w:cs="楷体_GB2312"/>
          <w:color w:val="auto"/>
          <w:sz w:val="32"/>
          <w:szCs w:val="32"/>
          <w:lang w:eastAsia="zh-CN"/>
        </w:rPr>
        <w:t>项目管理</w:t>
      </w:r>
      <w:r>
        <w:rPr>
          <w:rFonts w:hint="eastAsia" w:ascii="楷体_GB2312" w:hAnsi="楷体_GB2312" w:eastAsia="楷体_GB2312" w:cs="楷体_GB2312"/>
          <w:color w:val="auto"/>
          <w:sz w:val="32"/>
          <w:szCs w:val="32"/>
          <w:lang w:val="en-US" w:eastAsia="zh-CN"/>
        </w:rPr>
        <w:t xml:space="preserve"> （12分）</w:t>
      </w:r>
    </w:p>
    <w:p w14:paraId="6934202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制度办法（</w:t>
      </w:r>
      <w:r>
        <w:rPr>
          <w:rFonts w:hint="eastAsia" w:ascii="Times New Roman" w:hAnsi="Times New Roman" w:eastAsia="仿宋_GB2312" w:cs="Times New Roman"/>
          <w:color w:val="auto"/>
          <w:sz w:val="32"/>
          <w:szCs w:val="32"/>
          <w:lang w:val="en-US" w:eastAsia="zh-CN"/>
        </w:rPr>
        <w:t>1分</w:t>
      </w:r>
      <w:r>
        <w:rPr>
          <w:rFonts w:hint="eastAsia" w:ascii="Times New Roman" w:hAnsi="Times New Roman" w:eastAsia="仿宋_GB2312" w:cs="Times New Roman"/>
          <w:color w:val="auto"/>
          <w:sz w:val="32"/>
          <w:szCs w:val="32"/>
          <w:lang w:eastAsia="zh-CN"/>
        </w:rPr>
        <w:t>）：因上级项目资金使用方案已明确规定资金用于接种流感疫苗，单位未制定资金使用计划，资金管理办法等管理制度体系仍需进一步完善。</w:t>
      </w:r>
    </w:p>
    <w:p w14:paraId="51CD637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分配管理（</w:t>
      </w:r>
      <w:r>
        <w:rPr>
          <w:rFonts w:hint="eastAsia" w:ascii="Times New Roman" w:hAnsi="Times New Roman" w:eastAsia="仿宋_GB2312" w:cs="Times New Roman"/>
          <w:color w:val="auto"/>
          <w:sz w:val="32"/>
          <w:szCs w:val="32"/>
          <w:lang w:val="en-US" w:eastAsia="zh-CN"/>
        </w:rPr>
        <w:t>5分</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1</w:t>
      </w:r>
      <w:r>
        <w:rPr>
          <w:rFonts w:hint="eastAsia" w:ascii="Times New Roman" w:hAnsi="Times New Roman" w:eastAsia="仿宋_GB2312" w:cs="Times New Roman"/>
          <w:color w:val="auto"/>
          <w:sz w:val="32"/>
          <w:szCs w:val="32"/>
          <w:lang w:eastAsia="zh-CN"/>
        </w:rPr>
        <w:t>）因素分配法：资金分配因素选取充分考虑相关行业事业发展实际和发展需求；资金分配根据实际情况及条件设置，不存在突出领域；资金区域分布结果公平合理。（</w:t>
      </w:r>
      <w:r>
        <w:rPr>
          <w:rFonts w:hint="eastAsia" w:ascii="Times New Roman" w:hAnsi="Times New Roman" w:eastAsia="仿宋_GB2312" w:cs="Times New Roman"/>
          <w:color w:val="auto"/>
          <w:sz w:val="32"/>
          <w:szCs w:val="32"/>
          <w:lang w:val="en-US" w:eastAsia="zh-CN"/>
        </w:rPr>
        <w:t>2</w:t>
      </w:r>
      <w:r>
        <w:rPr>
          <w:rFonts w:hint="eastAsia" w:ascii="Times New Roman" w:hAnsi="Times New Roman" w:eastAsia="仿宋_GB2312" w:cs="Times New Roman"/>
          <w:color w:val="auto"/>
          <w:sz w:val="32"/>
          <w:szCs w:val="32"/>
          <w:lang w:eastAsia="zh-CN"/>
        </w:rPr>
        <w:t>）项目分配法：预算管理一体化有项目库；实行入库项目动态管理，按月、按季度开展动态监控；明确项目申报审核程序，按规定程序履行项目审批，项目申报符合州级要求。（</w:t>
      </w:r>
      <w:r>
        <w:rPr>
          <w:rFonts w:hint="eastAsia" w:ascii="Times New Roman" w:hAnsi="Times New Roman" w:eastAsia="仿宋_GB2312" w:cs="Times New Roman"/>
          <w:color w:val="auto"/>
          <w:sz w:val="32"/>
          <w:szCs w:val="32"/>
          <w:lang w:val="en-US" w:eastAsia="zh-CN"/>
        </w:rPr>
        <w:t>3</w:t>
      </w:r>
      <w:r>
        <w:rPr>
          <w:rFonts w:hint="eastAsia" w:ascii="Times New Roman" w:hAnsi="Times New Roman" w:eastAsia="仿宋_GB2312" w:cs="Times New Roman"/>
          <w:color w:val="auto"/>
          <w:sz w:val="32"/>
          <w:szCs w:val="32"/>
          <w:lang w:eastAsia="zh-CN"/>
        </w:rPr>
        <w:t>）其他分配法：资金分配依据充分合理。资金分配严格按管理办法执行，决策程序符合管理要求，及时高效。</w:t>
      </w:r>
    </w:p>
    <w:p w14:paraId="104898A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绩效监管（</w:t>
      </w:r>
      <w:r>
        <w:rPr>
          <w:rFonts w:hint="eastAsia" w:ascii="Times New Roman" w:hAnsi="Times New Roman" w:eastAsia="仿宋_GB2312" w:cs="Times New Roman"/>
          <w:color w:val="auto"/>
          <w:sz w:val="32"/>
          <w:szCs w:val="32"/>
          <w:lang w:val="en-US" w:eastAsia="zh-CN"/>
        </w:rPr>
        <w:t>6分</w:t>
      </w:r>
      <w:r>
        <w:rPr>
          <w:rFonts w:hint="eastAsia" w:ascii="Times New Roman" w:hAnsi="Times New Roman" w:eastAsia="仿宋_GB2312" w:cs="Times New Roman"/>
          <w:color w:val="auto"/>
          <w:sz w:val="32"/>
          <w:szCs w:val="32"/>
          <w:lang w:eastAsia="zh-CN"/>
        </w:rPr>
        <w:t>）：项目按州、县要求全面完成绩效目标（含事前评估）、绩效评价、以前年度问题整改等预算绩效管理工作；省级部门对市县主管部门预算绩效管理要求到位，州、县资金分配和项目管理指导力度充足。</w:t>
      </w:r>
    </w:p>
    <w:p w14:paraId="50C576B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textAlignment w:val="auto"/>
        <w:outlineLvl w:val="9"/>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3.项目实施（9分）</w:t>
      </w:r>
    </w:p>
    <w:p w14:paraId="1F79D4B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eastAsia="zh-CN"/>
        </w:rPr>
        <w:t>预算</w:t>
      </w:r>
      <w:r>
        <w:rPr>
          <w:rFonts w:hint="eastAsia" w:ascii="Times New Roman" w:hAnsi="Times New Roman" w:eastAsia="仿宋_GB2312" w:cs="Times New Roman"/>
          <w:color w:val="auto"/>
          <w:sz w:val="32"/>
          <w:szCs w:val="32"/>
          <w:lang w:val="zh-CN" w:eastAsia="zh-CN"/>
        </w:rPr>
        <w:t>执行（</w:t>
      </w:r>
      <w:r>
        <w:rPr>
          <w:rFonts w:hint="eastAsia" w:ascii="Times New Roman" w:hAnsi="Times New Roman" w:eastAsia="仿宋_GB2312" w:cs="Times New Roman"/>
          <w:color w:val="auto"/>
          <w:sz w:val="32"/>
          <w:szCs w:val="32"/>
          <w:lang w:val="en-US" w:eastAsia="zh-CN"/>
        </w:rPr>
        <w:t>6分</w:t>
      </w:r>
      <w:r>
        <w:rPr>
          <w:rFonts w:hint="eastAsia" w:ascii="Times New Roman" w:hAnsi="Times New Roman" w:eastAsia="仿宋_GB2312" w:cs="Times New Roman"/>
          <w:color w:val="auto"/>
          <w:sz w:val="32"/>
          <w:szCs w:val="32"/>
          <w:lang w:val="zh-CN" w:eastAsia="zh-CN"/>
        </w:rPr>
        <w:t>）：该项指标得分=</w:t>
      </w:r>
      <w:r>
        <w:rPr>
          <w:rFonts w:hint="default" w:ascii="Times New Roman" w:hAnsi="Times New Roman" w:eastAsia="仿宋_GB2312" w:cs="Times New Roman"/>
          <w:color w:val="auto"/>
          <w:sz w:val="32"/>
          <w:szCs w:val="32"/>
          <w:lang w:val="en-US" w:eastAsia="zh-CN"/>
        </w:rPr>
        <w:t>财政资金拨付率×100%×2+</w:t>
      </w:r>
      <w:r>
        <w:rPr>
          <w:rFonts w:hint="eastAsia" w:ascii="Times New Roman" w:hAnsi="Times New Roman" w:eastAsia="仿宋_GB2312" w:cs="Times New Roman"/>
          <w:color w:val="auto"/>
          <w:sz w:val="32"/>
          <w:szCs w:val="32"/>
          <w:lang w:val="en-US" w:eastAsia="zh-CN"/>
        </w:rPr>
        <w:t>单位资金使用</w:t>
      </w:r>
      <w:r>
        <w:rPr>
          <w:rFonts w:hint="default" w:ascii="Times New Roman" w:hAnsi="Times New Roman" w:eastAsia="仿宋_GB2312" w:cs="Times New Roman"/>
          <w:color w:val="auto"/>
          <w:sz w:val="32"/>
          <w:szCs w:val="32"/>
          <w:lang w:val="en-US" w:eastAsia="zh-CN"/>
        </w:rPr>
        <w:t>率×100%×2+地方资金到位率×100%×2</w:t>
      </w:r>
      <w:r>
        <w:rPr>
          <w:rFonts w:hint="eastAsia" w:ascii="Times New Roman" w:hAnsi="Times New Roman" w:eastAsia="仿宋_GB2312" w:cs="Times New Roman"/>
          <w:color w:val="auto"/>
          <w:sz w:val="32"/>
          <w:szCs w:val="32"/>
          <w:lang w:val="en-US" w:eastAsia="zh-CN"/>
        </w:rPr>
        <w:t>=100%</w:t>
      </w:r>
      <w:r>
        <w:rPr>
          <w:rFonts w:hint="eastAsia" w:ascii="Times New Roman" w:hAnsi="Times New Roman" w:eastAsia="仿宋_GB2312" w:cs="Times New Roman"/>
          <w:color w:val="auto"/>
          <w:sz w:val="32"/>
          <w:szCs w:val="32"/>
          <w:lang w:val="zh-CN" w:eastAsia="zh-CN"/>
        </w:rPr>
        <w:t>×100%×2+</w:t>
      </w:r>
      <w:r>
        <w:rPr>
          <w:rFonts w:hint="eastAsia" w:ascii="Times New Roman" w:hAnsi="Times New Roman" w:eastAsia="仿宋_GB2312" w:cs="Times New Roman"/>
          <w:color w:val="auto"/>
          <w:sz w:val="32"/>
          <w:szCs w:val="32"/>
          <w:lang w:val="en-US" w:eastAsia="zh-CN"/>
        </w:rPr>
        <w:t>100%</w:t>
      </w:r>
      <w:r>
        <w:rPr>
          <w:rFonts w:hint="eastAsia" w:ascii="Times New Roman" w:hAnsi="Times New Roman" w:eastAsia="仿宋_GB2312" w:cs="Times New Roman"/>
          <w:color w:val="auto"/>
          <w:sz w:val="32"/>
          <w:szCs w:val="32"/>
          <w:lang w:val="zh-CN" w:eastAsia="zh-CN"/>
        </w:rPr>
        <w:t>×</w:t>
      </w:r>
      <w:r>
        <w:rPr>
          <w:rFonts w:hint="eastAsia" w:ascii="Times New Roman" w:hAnsi="Times New Roman" w:eastAsia="仿宋_GB2312" w:cs="Times New Roman"/>
          <w:color w:val="auto"/>
          <w:sz w:val="32"/>
          <w:szCs w:val="32"/>
          <w:lang w:val="en-US" w:eastAsia="zh-CN"/>
        </w:rPr>
        <w:t>100</w:t>
      </w:r>
      <w:r>
        <w:rPr>
          <w:rFonts w:hint="eastAsia" w:ascii="Times New Roman" w:hAnsi="Times New Roman" w:eastAsia="仿宋_GB2312" w:cs="Times New Roman"/>
          <w:color w:val="auto"/>
          <w:sz w:val="32"/>
          <w:szCs w:val="32"/>
          <w:lang w:val="zh-CN" w:eastAsia="zh-CN"/>
        </w:rPr>
        <w:t>%×2+</w:t>
      </w:r>
      <w:r>
        <w:rPr>
          <w:rFonts w:hint="eastAsia" w:ascii="Times New Roman" w:hAnsi="Times New Roman" w:eastAsia="仿宋_GB2312" w:cs="Times New Roman"/>
          <w:color w:val="auto"/>
          <w:sz w:val="32"/>
          <w:szCs w:val="32"/>
          <w:lang w:val="en-US" w:eastAsia="zh-CN"/>
        </w:rPr>
        <w:t>100%</w:t>
      </w:r>
      <w:r>
        <w:rPr>
          <w:rFonts w:hint="eastAsia" w:ascii="Times New Roman" w:hAnsi="Times New Roman" w:eastAsia="仿宋_GB2312" w:cs="Times New Roman"/>
          <w:color w:val="auto"/>
          <w:sz w:val="32"/>
          <w:szCs w:val="32"/>
          <w:lang w:val="zh-CN" w:eastAsia="zh-CN"/>
        </w:rPr>
        <w:t>×100%×2</w:t>
      </w:r>
      <w:r>
        <w:rPr>
          <w:rFonts w:hint="eastAsia" w:ascii="Times New Roman" w:hAnsi="Times New Roman" w:eastAsia="仿宋_GB2312" w:cs="Times New Roman"/>
          <w:color w:val="auto"/>
          <w:sz w:val="32"/>
          <w:szCs w:val="32"/>
          <w:lang w:val="en-US" w:eastAsia="zh-CN"/>
        </w:rPr>
        <w:t>=6分。</w:t>
      </w:r>
    </w:p>
    <w:p w14:paraId="29C9410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资金使用（</w:t>
      </w:r>
      <w:r>
        <w:rPr>
          <w:rFonts w:hint="eastAsia" w:ascii="Times New Roman" w:hAnsi="Times New Roman" w:eastAsia="仿宋_GB2312" w:cs="Times New Roman"/>
          <w:color w:val="auto"/>
          <w:sz w:val="32"/>
          <w:szCs w:val="32"/>
          <w:lang w:val="en-US" w:eastAsia="zh-CN"/>
        </w:rPr>
        <w:t>3分</w:t>
      </w:r>
      <w:r>
        <w:rPr>
          <w:rFonts w:hint="eastAsia" w:ascii="Times New Roman" w:hAnsi="Times New Roman" w:eastAsia="仿宋_GB2312" w:cs="Times New Roman"/>
          <w:color w:val="auto"/>
          <w:sz w:val="32"/>
          <w:szCs w:val="32"/>
          <w:lang w:eastAsia="zh-CN"/>
        </w:rPr>
        <w:t>）：项目资金使用、拨付符合国家财经法规、财务管理制度及有关专项资金管理制度办法规定和审批程序，不存在超范围、超标准、超进度使用专项资金，不存在资金损失浪费、长期沉淀、截留、挤占、挪用、虚列支出等情况。</w:t>
      </w:r>
    </w:p>
    <w:p w14:paraId="4E9293A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4.项目结果 （9分）</w:t>
      </w:r>
    </w:p>
    <w:p w14:paraId="07D62F4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目标完成（6分）：该项指标得分=实际完成目标任务量÷首次批复立项设定绩效目标任务总量×100%×6=5÷5×100%×6=6分。（目标任务数5个）</w:t>
      </w:r>
    </w:p>
    <w:p w14:paraId="1BB06A7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eastAsia="zh-CN"/>
        </w:rPr>
        <w:t>完成时效（</w:t>
      </w:r>
      <w:r>
        <w:rPr>
          <w:rFonts w:hint="eastAsia" w:ascii="Times New Roman" w:hAnsi="Times New Roman" w:eastAsia="仿宋_GB2312" w:cs="Times New Roman"/>
          <w:color w:val="auto"/>
          <w:sz w:val="32"/>
          <w:szCs w:val="32"/>
          <w:lang w:val="en-US" w:eastAsia="zh-CN"/>
        </w:rPr>
        <w:t>3分</w:t>
      </w:r>
      <w:r>
        <w:rPr>
          <w:rFonts w:hint="eastAsia" w:ascii="Times New Roman" w:hAnsi="Times New Roman" w:eastAsia="仿宋_GB2312" w:cs="Times New Roman"/>
          <w:color w:val="auto"/>
          <w:sz w:val="32"/>
          <w:szCs w:val="32"/>
          <w:lang w:eastAsia="zh-CN"/>
        </w:rPr>
        <w:t>）：该项指标得分=（1-(</w:t>
      </w:r>
      <w:r>
        <w:rPr>
          <w:rFonts w:hint="eastAsia" w:ascii="Times New Roman" w:hAnsi="Times New Roman" w:eastAsia="仿宋_GB2312" w:cs="Times New Roman"/>
          <w:color w:val="auto"/>
          <w:sz w:val="32"/>
          <w:szCs w:val="32"/>
          <w:lang w:val="en-US" w:eastAsia="zh-CN"/>
        </w:rPr>
        <w:t>12</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12</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12</w:t>
      </w:r>
      <w:r>
        <w:rPr>
          <w:rFonts w:hint="eastAsia" w:ascii="Times New Roman" w:hAnsi="Times New Roman" w:eastAsia="仿宋_GB2312" w:cs="Times New Roman"/>
          <w:color w:val="auto"/>
          <w:sz w:val="32"/>
          <w:szCs w:val="32"/>
          <w:lang w:eastAsia="zh-CN"/>
        </w:rPr>
        <w:t>）×100%×3</w:t>
      </w:r>
      <w:r>
        <w:rPr>
          <w:rFonts w:hint="eastAsia" w:ascii="Times New Roman" w:hAnsi="Times New Roman" w:eastAsia="仿宋_GB2312" w:cs="Times New Roman"/>
          <w:color w:val="auto"/>
          <w:sz w:val="32"/>
          <w:szCs w:val="32"/>
          <w:lang w:val="en-US" w:eastAsia="zh-CN"/>
        </w:rPr>
        <w:t>=0。</w:t>
      </w:r>
      <w:r>
        <w:rPr>
          <w:rFonts w:hint="eastAsia" w:ascii="Times New Roman" w:hAnsi="Times New Roman" w:eastAsia="仿宋_GB2312" w:cs="Times New Roman"/>
          <w:color w:val="auto"/>
          <w:sz w:val="32"/>
          <w:szCs w:val="32"/>
          <w:lang w:eastAsia="zh-CN"/>
        </w:rPr>
        <w:t>指标以月数为单位。实际完成时间-计划完成时间等于0，得</w:t>
      </w:r>
      <w:r>
        <w:rPr>
          <w:rFonts w:hint="eastAsia" w:ascii="Times New Roman" w:hAnsi="Times New Roman" w:eastAsia="仿宋_GB2312" w:cs="Times New Roman"/>
          <w:color w:val="auto"/>
          <w:sz w:val="32"/>
          <w:szCs w:val="32"/>
          <w:lang w:val="en-US" w:eastAsia="zh-CN"/>
        </w:rPr>
        <w:t>3分。</w:t>
      </w:r>
    </w:p>
    <w:p w14:paraId="7E3286A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9"/>
        <w:rPr>
          <w:rFonts w:hint="eastAsia" w:ascii="楷体_GB2312" w:hAnsi="楷体_GB2312" w:eastAsia="楷体_GB2312" w:cs="楷体_GB2312"/>
          <w:color w:val="auto"/>
          <w:sz w:val="32"/>
          <w:szCs w:val="32"/>
          <w:lang w:val="zh-CN" w:eastAsia="zh-CN"/>
        </w:rPr>
      </w:pPr>
      <w:r>
        <w:rPr>
          <w:rFonts w:hint="eastAsia" w:ascii="楷体_GB2312" w:hAnsi="宋体" w:eastAsia="楷体_GB2312" w:cs="Times New Roman"/>
          <w:b/>
          <w:color w:val="auto"/>
          <w:sz w:val="32"/>
          <w:szCs w:val="32"/>
          <w:highlight w:val="none"/>
          <w:u w:val="none"/>
          <w:lang w:val="zh-CN"/>
        </w:rPr>
        <w:t>（二）</w:t>
      </w:r>
      <w:r>
        <w:rPr>
          <w:rFonts w:hint="eastAsia" w:ascii="楷体_GB2312" w:hAnsi="宋体"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auto"/>
          <w:kern w:val="0"/>
          <w:sz w:val="32"/>
          <w:szCs w:val="32"/>
          <w:highlight w:val="none"/>
          <w:shd w:val="clear" w:color="auto" w:fill="FFFFFF"/>
          <w:lang w:val="zh-CN"/>
        </w:rPr>
        <w:t>绩效分析</w:t>
      </w:r>
      <w:r>
        <w:rPr>
          <w:rFonts w:hint="eastAsia" w:ascii="Times New Roman" w:hAnsi="Times New Roman" w:eastAsia="楷体_GB2312" w:cs="Times New Roman"/>
          <w:b/>
          <w:bCs/>
          <w:color w:val="auto"/>
          <w:kern w:val="0"/>
          <w:sz w:val="32"/>
          <w:szCs w:val="32"/>
          <w:highlight w:val="none"/>
          <w:shd w:val="clear" w:color="auto" w:fill="FFFFFF"/>
          <w:lang w:val="zh-CN"/>
        </w:rPr>
        <w:t>（</w:t>
      </w:r>
      <w:r>
        <w:rPr>
          <w:rFonts w:hint="eastAsia" w:ascii="Times New Roman" w:hAnsi="Times New Roman" w:eastAsia="楷体_GB2312" w:cs="Times New Roman"/>
          <w:b/>
          <w:bCs/>
          <w:color w:val="auto"/>
          <w:kern w:val="0"/>
          <w:sz w:val="32"/>
          <w:szCs w:val="32"/>
          <w:highlight w:val="none"/>
          <w:shd w:val="clear" w:color="auto" w:fill="FFFFFF"/>
          <w:lang w:val="en-US" w:eastAsia="zh-CN"/>
        </w:rPr>
        <w:t>24.75分</w:t>
      </w:r>
      <w:r>
        <w:rPr>
          <w:rFonts w:hint="eastAsia" w:ascii="Times New Roman" w:hAnsi="Times New Roman" w:eastAsia="楷体_GB2312" w:cs="Times New Roman"/>
          <w:b/>
          <w:bCs/>
          <w:color w:val="auto"/>
          <w:kern w:val="0"/>
          <w:sz w:val="32"/>
          <w:szCs w:val="32"/>
          <w:highlight w:val="none"/>
          <w:shd w:val="clear" w:color="auto" w:fill="FFFFFF"/>
          <w:lang w:val="zh-CN"/>
        </w:rPr>
        <w:t>）</w:t>
      </w:r>
    </w:p>
    <w:p w14:paraId="74B402D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楷体_GB2312" w:hAnsi="楷体_GB2312" w:eastAsia="楷体_GB2312" w:cs="楷体_GB2312"/>
          <w:color w:val="auto"/>
          <w:sz w:val="32"/>
          <w:szCs w:val="32"/>
          <w:lang w:val="zh-CN" w:eastAsia="zh-CN"/>
        </w:rPr>
      </w:pPr>
      <w:r>
        <w:rPr>
          <w:rFonts w:hint="eastAsia" w:ascii="楷体_GB2312" w:hAnsi="楷体_GB2312" w:eastAsia="楷体_GB2312" w:cs="楷体_GB2312"/>
          <w:color w:val="auto"/>
          <w:sz w:val="32"/>
          <w:szCs w:val="32"/>
          <w:lang w:val="zh-CN" w:eastAsia="zh-CN"/>
        </w:rPr>
        <w:t>民生保障：该项目主要涉及民生保障。</w:t>
      </w:r>
    </w:p>
    <w:p w14:paraId="5A0D206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区域均衡性（</w:t>
      </w:r>
      <w:r>
        <w:rPr>
          <w:rFonts w:hint="eastAsia" w:ascii="Times New Roman" w:hAnsi="Times New Roman" w:eastAsia="仿宋_GB2312" w:cs="Times New Roman"/>
          <w:color w:val="auto"/>
          <w:sz w:val="32"/>
          <w:szCs w:val="32"/>
          <w:lang w:val="en-US" w:eastAsia="zh-CN"/>
        </w:rPr>
        <w:t>5分</w:t>
      </w:r>
      <w:r>
        <w:rPr>
          <w:rFonts w:hint="eastAsia" w:ascii="Times New Roman" w:hAnsi="Times New Roman" w:eastAsia="仿宋_GB2312" w:cs="Times New Roman"/>
          <w:color w:val="auto"/>
          <w:sz w:val="32"/>
          <w:szCs w:val="32"/>
          <w:lang w:eastAsia="zh-CN"/>
        </w:rPr>
        <w:t>）：该项目实施提升了我县</w:t>
      </w:r>
      <w:r>
        <w:rPr>
          <w:rFonts w:hint="eastAsia" w:ascii="Times New Roman" w:hAnsi="Times New Roman" w:eastAsia="仿宋_GB2312" w:cs="Times New Roman"/>
          <w:color w:val="auto"/>
          <w:sz w:val="32"/>
          <w:szCs w:val="32"/>
          <w:lang w:val="en-US" w:eastAsia="zh-CN"/>
        </w:rPr>
        <w:t>65周岁及以上老年人身体健康，区域均衡性有待完善</w:t>
      </w:r>
      <w:r>
        <w:rPr>
          <w:rFonts w:hint="eastAsia" w:ascii="Times New Roman" w:hAnsi="Times New Roman" w:eastAsia="仿宋_GB2312" w:cs="Times New Roman"/>
          <w:color w:val="auto"/>
          <w:sz w:val="32"/>
          <w:szCs w:val="32"/>
          <w:lang w:eastAsia="zh-CN"/>
        </w:rPr>
        <w:t>。</w:t>
      </w:r>
    </w:p>
    <w:p w14:paraId="3D9C213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仿宋_GB2312" w:cs="Times New Roman"/>
          <w:color w:val="FF0000"/>
          <w:sz w:val="32"/>
          <w:szCs w:val="32"/>
          <w:lang w:val="en-US" w:eastAsia="zh-CN"/>
        </w:rPr>
      </w:pPr>
      <w:r>
        <w:rPr>
          <w:rFonts w:hint="eastAsia" w:ascii="Times New Roman" w:hAnsi="Times New Roman" w:eastAsia="仿宋_GB2312" w:cs="Times New Roman"/>
          <w:color w:val="auto"/>
          <w:sz w:val="32"/>
          <w:szCs w:val="32"/>
          <w:lang w:eastAsia="zh-CN"/>
        </w:rPr>
        <w:t>对象精准性（</w:t>
      </w:r>
      <w:r>
        <w:rPr>
          <w:rFonts w:hint="eastAsia" w:ascii="Times New Roman" w:hAnsi="Times New Roman" w:eastAsia="仿宋_GB2312" w:cs="Times New Roman"/>
          <w:color w:val="auto"/>
          <w:sz w:val="32"/>
          <w:szCs w:val="32"/>
          <w:lang w:val="en-US" w:eastAsia="zh-CN"/>
        </w:rPr>
        <w:t>10分</w:t>
      </w:r>
      <w:r>
        <w:rPr>
          <w:rFonts w:hint="eastAsia" w:ascii="Times New Roman" w:hAnsi="Times New Roman" w:eastAsia="仿宋_GB2312" w:cs="Times New Roman"/>
          <w:color w:val="auto"/>
          <w:sz w:val="32"/>
          <w:szCs w:val="32"/>
          <w:lang w:eastAsia="zh-CN"/>
        </w:rPr>
        <w:t>）：该项指标得分=（</w:t>
      </w:r>
      <w:r>
        <w:rPr>
          <w:rFonts w:hint="eastAsia" w:ascii="Times New Roman" w:hAnsi="Times New Roman" w:eastAsia="仿宋_GB2312" w:cs="Times New Roman"/>
          <w:color w:val="auto"/>
          <w:sz w:val="32"/>
          <w:szCs w:val="32"/>
          <w:lang w:val="en-US" w:eastAsia="zh-CN"/>
        </w:rPr>
        <w:t>150</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0</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150</w:t>
      </w:r>
      <w:r>
        <w:rPr>
          <w:rFonts w:hint="eastAsia" w:ascii="Times New Roman" w:hAnsi="Times New Roman" w:eastAsia="仿宋_GB2312" w:cs="Times New Roman"/>
          <w:color w:val="auto"/>
          <w:sz w:val="32"/>
          <w:szCs w:val="32"/>
          <w:lang w:eastAsia="zh-CN"/>
        </w:rPr>
        <w:t>×100%×10</w:t>
      </w:r>
      <w:r>
        <w:rPr>
          <w:rFonts w:hint="eastAsia" w:ascii="Times New Roman" w:hAnsi="Times New Roman" w:eastAsia="仿宋_GB2312" w:cs="Times New Roman"/>
          <w:color w:val="auto"/>
          <w:sz w:val="32"/>
          <w:szCs w:val="32"/>
          <w:lang w:val="en-US" w:eastAsia="zh-CN"/>
        </w:rPr>
        <w:t>=10分。（以150名65周岁及以上老年人接种任务书作为评分标准）</w:t>
      </w:r>
    </w:p>
    <w:p w14:paraId="5CEBA33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仿宋_GB2312" w:cs="Times New Roman"/>
          <w:color w:val="FF0000"/>
          <w:sz w:val="32"/>
          <w:szCs w:val="32"/>
          <w:lang w:val="en-US" w:eastAsia="zh-CN"/>
        </w:rPr>
      </w:pPr>
      <w:r>
        <w:rPr>
          <w:rFonts w:hint="eastAsia" w:ascii="Times New Roman" w:hAnsi="Times New Roman" w:eastAsia="仿宋_GB2312" w:cs="Times New Roman"/>
          <w:color w:val="auto"/>
          <w:sz w:val="32"/>
          <w:szCs w:val="32"/>
          <w:lang w:eastAsia="zh-CN"/>
        </w:rPr>
        <w:t>标准合理性（</w:t>
      </w:r>
      <w:r>
        <w:rPr>
          <w:rFonts w:hint="eastAsia" w:ascii="Times New Roman" w:hAnsi="Times New Roman" w:eastAsia="仿宋_GB2312" w:cs="Times New Roman"/>
          <w:color w:val="auto"/>
          <w:sz w:val="32"/>
          <w:szCs w:val="32"/>
          <w:lang w:val="en-US" w:eastAsia="zh-CN"/>
        </w:rPr>
        <w:t>5分</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该项指标得分=（150-0）÷150×100%×5=5分。（以150名65周岁及以上老年人接种任务书作为评分标准）</w:t>
      </w:r>
    </w:p>
    <w:p w14:paraId="4567F228">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楷体_GB2312" w:hAnsi="楷体_GB2312" w:eastAsia="楷体_GB2312" w:cs="楷体_GB2312"/>
          <w:color w:val="auto"/>
          <w:sz w:val="32"/>
          <w:szCs w:val="32"/>
          <w:lang w:val="en-US" w:eastAsia="zh-CN"/>
        </w:rPr>
      </w:pPr>
      <w:r>
        <w:rPr>
          <w:rFonts w:hint="eastAsia" w:ascii="Times New Roman" w:hAnsi="Times New Roman" w:eastAsia="仿宋_GB2312" w:cs="Times New Roman"/>
          <w:color w:val="auto"/>
          <w:sz w:val="32"/>
          <w:szCs w:val="32"/>
          <w:lang w:eastAsia="zh-CN"/>
        </w:rPr>
        <w:t>群众满意度（</w:t>
      </w:r>
      <w:r>
        <w:rPr>
          <w:rFonts w:hint="eastAsia" w:ascii="Times New Roman" w:hAnsi="Times New Roman" w:eastAsia="仿宋_GB2312" w:cs="Times New Roman"/>
          <w:color w:val="auto"/>
          <w:sz w:val="32"/>
          <w:szCs w:val="32"/>
          <w:lang w:val="en-US" w:eastAsia="zh-CN"/>
        </w:rPr>
        <w:t>4.75分</w:t>
      </w:r>
      <w:r>
        <w:rPr>
          <w:rFonts w:hint="eastAsia" w:ascii="Times New Roman" w:hAnsi="Times New Roman" w:eastAsia="仿宋_GB2312" w:cs="Times New Roman"/>
          <w:color w:val="auto"/>
          <w:sz w:val="32"/>
          <w:szCs w:val="32"/>
          <w:lang w:eastAsia="zh-CN"/>
        </w:rPr>
        <w:t>）：该项指标得分=</w:t>
      </w:r>
      <w:r>
        <w:rPr>
          <w:rFonts w:hint="eastAsia" w:ascii="Times New Roman" w:hAnsi="Times New Roman" w:eastAsia="仿宋_GB2312" w:cs="Times New Roman"/>
          <w:color w:val="auto"/>
          <w:sz w:val="32"/>
          <w:szCs w:val="32"/>
          <w:lang w:val="en-US" w:eastAsia="zh-CN"/>
        </w:rPr>
        <w:t>0.95</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100</w:t>
      </w:r>
      <w:r>
        <w:rPr>
          <w:rFonts w:hint="eastAsia" w:ascii="Times New Roman" w:hAnsi="Times New Roman" w:eastAsia="仿宋_GB2312" w:cs="Times New Roman"/>
          <w:color w:val="auto"/>
          <w:sz w:val="32"/>
          <w:szCs w:val="32"/>
          <w:lang w:eastAsia="zh-CN"/>
        </w:rPr>
        <w:t>%×5</w:t>
      </w:r>
      <w:r>
        <w:rPr>
          <w:rFonts w:hint="eastAsia" w:ascii="Times New Roman" w:hAnsi="Times New Roman" w:eastAsia="仿宋_GB2312" w:cs="Times New Roman"/>
          <w:color w:val="auto"/>
          <w:sz w:val="32"/>
          <w:szCs w:val="32"/>
          <w:lang w:val="en-US" w:eastAsia="zh-CN"/>
        </w:rPr>
        <w:t>=4.75分。</w:t>
      </w:r>
    </w:p>
    <w:p w14:paraId="0896E88C">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firstLine="640"/>
        <w:textAlignment w:val="auto"/>
        <w:outlineLvl w:val="9"/>
        <w:rPr>
          <w:rFonts w:hint="default" w:ascii="Times New Roman" w:hAnsi="Times New Roman" w:eastAsia="仿宋_GB2312" w:cs="Times New Roman"/>
          <w:color w:val="auto"/>
          <w:sz w:val="32"/>
          <w:szCs w:val="32"/>
          <w:lang w:val="en-US" w:eastAsia="zh-CN"/>
        </w:rPr>
      </w:pPr>
      <w:r>
        <w:rPr>
          <w:rFonts w:hint="eastAsia" w:ascii="楷体_GB2312" w:hAnsi="宋体"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auto"/>
          <w:kern w:val="0"/>
          <w:sz w:val="32"/>
          <w:szCs w:val="32"/>
          <w:highlight w:val="none"/>
          <w:shd w:val="clear" w:color="auto" w:fill="FFFFFF"/>
          <w:lang w:val="zh-CN"/>
        </w:rPr>
        <w:t>绩效分析</w:t>
      </w:r>
      <w:r>
        <w:rPr>
          <w:rFonts w:hint="eastAsia" w:ascii="Times New Roman" w:hAnsi="Times New Roman" w:eastAsia="楷体_GB2312" w:cs="Times New Roman"/>
          <w:b/>
          <w:bCs/>
          <w:color w:val="auto"/>
          <w:kern w:val="0"/>
          <w:sz w:val="32"/>
          <w:szCs w:val="32"/>
          <w:highlight w:val="none"/>
          <w:shd w:val="clear" w:color="auto" w:fill="FFFFFF"/>
          <w:lang w:val="zh-CN"/>
        </w:rPr>
        <w:t>（</w:t>
      </w:r>
      <w:r>
        <w:rPr>
          <w:rFonts w:hint="eastAsia" w:ascii="Times New Roman" w:hAnsi="Times New Roman" w:eastAsia="楷体_GB2312" w:cs="Times New Roman"/>
          <w:b/>
          <w:bCs/>
          <w:color w:val="auto"/>
          <w:kern w:val="0"/>
          <w:sz w:val="32"/>
          <w:szCs w:val="32"/>
          <w:highlight w:val="none"/>
          <w:shd w:val="clear" w:color="auto" w:fill="FFFFFF"/>
          <w:lang w:val="en-US" w:eastAsia="zh-CN"/>
        </w:rPr>
        <w:t>16分</w:t>
      </w:r>
      <w:r>
        <w:rPr>
          <w:rFonts w:hint="eastAsia" w:ascii="Times New Roman" w:hAnsi="Times New Roman" w:eastAsia="楷体_GB2312" w:cs="Times New Roman"/>
          <w:b/>
          <w:bCs/>
          <w:color w:val="auto"/>
          <w:kern w:val="0"/>
          <w:sz w:val="32"/>
          <w:szCs w:val="32"/>
          <w:highlight w:val="none"/>
          <w:shd w:val="clear" w:color="auto" w:fill="FFFFFF"/>
          <w:lang w:val="zh-CN"/>
        </w:rPr>
        <w:t>）</w:t>
      </w:r>
    </w:p>
    <w:p w14:paraId="5CFF0501">
      <w:pPr>
        <w:pageBreakBefore w:val="0"/>
        <w:kinsoku/>
        <w:wordWrap/>
        <w:overflowPunct/>
        <w:topLinePunct w:val="0"/>
        <w:autoSpaceDN/>
        <w:bidi w:val="0"/>
        <w:spacing w:line="560" w:lineRule="exact"/>
        <w:ind w:firstLine="640" w:firstLineChars="200"/>
        <w:rPr>
          <w:rStyle w:val="11"/>
          <w:rFonts w:hint="eastAsia" w:ascii="仿宋_GB2312" w:hAnsi="仿宋_GB2312" w:eastAsia="仿宋_GB2312" w:cs="仿宋_GB2312"/>
          <w:color w:val="auto"/>
          <w:sz w:val="32"/>
          <w:szCs w:val="32"/>
          <w:lang w:val="en-US" w:eastAsia="zh-CN"/>
        </w:rPr>
      </w:pPr>
      <w:r>
        <w:rPr>
          <w:rStyle w:val="11"/>
          <w:rFonts w:hint="eastAsia" w:ascii="仿宋_GB2312" w:hAnsi="仿宋_GB2312" w:eastAsia="宋体" w:cs="仿宋_GB2312"/>
          <w:color w:val="auto"/>
          <w:kern w:val="2"/>
          <w:sz w:val="32"/>
          <w:szCs w:val="32"/>
          <w:lang w:val="en-US" w:eastAsia="zh-CN" w:bidi="ar-SA"/>
        </w:rPr>
        <w:t>数量指标（8分）：</w:t>
      </w:r>
      <w:r>
        <w:rPr>
          <w:rFonts w:hint="eastAsia" w:ascii="仿宋_GB2312" w:hAnsi="Times New Roman" w:eastAsia="仿宋_GB2312" w:cs="Times New Roman"/>
          <w:sz w:val="32"/>
          <w:szCs w:val="32"/>
          <w:lang w:val="en-US" w:eastAsia="zh-CN"/>
        </w:rPr>
        <w:t>65周岁及以上免费接种流感疫苗150人（任务数），实际完成150人。</w:t>
      </w:r>
    </w:p>
    <w:p w14:paraId="3A6A8248">
      <w:pPr>
        <w:pageBreakBefore w:val="0"/>
        <w:widowControl w:val="0"/>
        <w:kinsoku/>
        <w:wordWrap/>
        <w:overflowPunct/>
        <w:topLinePunct w:val="0"/>
        <w:autoSpaceDN/>
        <w:bidi w:val="0"/>
        <w:spacing w:line="560" w:lineRule="exact"/>
        <w:ind w:left="0" w:leftChars="0" w:firstLine="640" w:firstLineChars="200"/>
        <w:jc w:val="both"/>
        <w:rPr>
          <w:rFonts w:hint="eastAsia" w:ascii="Times New Roman" w:hAnsi="Times New Roman" w:eastAsia="仿宋_GB2312" w:cs="Times New Roman"/>
          <w:kern w:val="2"/>
          <w:sz w:val="32"/>
          <w:szCs w:val="32"/>
          <w:lang w:val="en-US" w:eastAsia="zh-CN" w:bidi="ar-SA"/>
        </w:rPr>
      </w:pPr>
      <w:r>
        <w:rPr>
          <w:rStyle w:val="11"/>
          <w:rFonts w:hint="eastAsia" w:ascii="仿宋_GB2312" w:hAnsi="仿宋_GB2312" w:eastAsia="仿宋_GB2312" w:cs="仿宋_GB2312"/>
          <w:color w:val="auto"/>
          <w:kern w:val="2"/>
          <w:sz w:val="32"/>
          <w:szCs w:val="32"/>
          <w:lang w:val="en-US" w:eastAsia="zh-CN" w:bidi="ar-SA"/>
        </w:rPr>
        <w:t>效益指标</w:t>
      </w:r>
      <w:r>
        <w:rPr>
          <w:rStyle w:val="11"/>
          <w:rFonts w:hint="eastAsia" w:ascii="仿宋_GB2312" w:hAnsi="仿宋_GB2312" w:eastAsia="宋体" w:cs="仿宋_GB2312"/>
          <w:color w:val="auto"/>
          <w:kern w:val="2"/>
          <w:sz w:val="32"/>
          <w:szCs w:val="32"/>
          <w:lang w:val="en-US" w:eastAsia="zh-CN" w:bidi="ar-SA"/>
        </w:rPr>
        <w:t>（8分）</w:t>
      </w:r>
      <w:r>
        <w:rPr>
          <w:rStyle w:val="11"/>
          <w:rFonts w:hint="eastAsia" w:ascii="仿宋_GB2312" w:hAnsi="仿宋_GB2312" w:eastAsia="仿宋_GB2312" w:cs="仿宋_GB2312"/>
          <w:color w:val="auto"/>
          <w:kern w:val="2"/>
          <w:sz w:val="32"/>
          <w:szCs w:val="32"/>
          <w:lang w:val="en-US" w:eastAsia="zh-CN" w:bidi="ar-SA"/>
        </w:rPr>
        <w:t>：2025年12月底完成疫苗接种。</w:t>
      </w:r>
    </w:p>
    <w:p w14:paraId="35D4CF7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0" w:leftChars="0"/>
        <w:textAlignment w:val="auto"/>
        <w:outlineLvl w:val="9"/>
        <w:rPr>
          <w:rFonts w:hint="eastAsia" w:ascii="黑体" w:hAnsi="宋体" w:eastAsia="黑体" w:cs="Times New Roman"/>
          <w:color w:val="auto"/>
          <w:sz w:val="32"/>
          <w:szCs w:val="32"/>
          <w:highlight w:val="none"/>
          <w:u w:val="none"/>
        </w:rPr>
      </w:pPr>
      <w:r>
        <w:rPr>
          <w:rFonts w:hint="eastAsia" w:ascii="黑体" w:hAnsi="宋体" w:eastAsia="黑体" w:cs="Times New Roman"/>
          <w:color w:val="auto"/>
          <w:sz w:val="32"/>
          <w:szCs w:val="32"/>
          <w:highlight w:val="none"/>
          <w:u w:val="none"/>
          <w:lang w:eastAsia="zh-CN"/>
        </w:rPr>
        <w:t>四</w:t>
      </w:r>
      <w:r>
        <w:rPr>
          <w:rFonts w:hint="eastAsia" w:ascii="黑体" w:hAnsi="宋体" w:eastAsia="黑体" w:cs="Times New Roman"/>
          <w:color w:val="auto"/>
          <w:sz w:val="32"/>
          <w:szCs w:val="32"/>
          <w:highlight w:val="none"/>
          <w:u w:val="none"/>
        </w:rPr>
        <w:t>、评价结论</w:t>
      </w:r>
    </w:p>
    <w:p w14:paraId="16AD4FC9">
      <w:pPr>
        <w:pageBreakBefore w:val="0"/>
        <w:widowControl/>
        <w:numPr>
          <w:ilvl w:val="0"/>
          <w:numId w:val="0"/>
        </w:numPr>
        <w:kinsoku/>
        <w:wordWrap/>
        <w:overflowPunct/>
        <w:topLinePunct w:val="0"/>
        <w:autoSpaceDE/>
        <w:autoSpaceDN/>
        <w:bidi w:val="0"/>
        <w:adjustRightInd/>
        <w:spacing w:line="560" w:lineRule="exact"/>
        <w:ind w:firstLine="640" w:firstLineChars="200"/>
        <w:jc w:val="left"/>
        <w:textAlignment w:val="auto"/>
        <w:rPr>
          <w:rFonts w:hint="default" w:ascii="黑体" w:hAnsi="黑体" w:eastAsia="黑体" w:cs="黑体"/>
          <w:b w:val="0"/>
          <w:bCs w:val="0"/>
          <w:color w:val="auto"/>
          <w:kern w:val="2"/>
          <w:position w:val="0"/>
          <w:sz w:val="32"/>
          <w:szCs w:val="32"/>
          <w:highlight w:val="none"/>
          <w:lang w:val="en-US" w:eastAsia="zh-CN" w:bidi="ar-SA"/>
        </w:rPr>
      </w:pPr>
      <w:r>
        <w:rPr>
          <w:rFonts w:hint="eastAsia" w:ascii="仿宋_GB2312" w:hAnsi="仿宋_GB2312" w:eastAsia="仿宋_GB2312" w:cs="仿宋_GB2312"/>
          <w:b w:val="0"/>
          <w:bCs w:val="0"/>
          <w:color w:val="auto"/>
          <w:kern w:val="0"/>
          <w:position w:val="0"/>
          <w:sz w:val="32"/>
          <w:szCs w:val="32"/>
          <w:highlight w:val="none"/>
          <w:lang w:val="en-US" w:eastAsia="zh-CN" w:bidi="ar-SA"/>
        </w:rPr>
        <w:t>该项专项预算项目绩效自评总体结论优异，自评得分88.75分，项目实施范围符合州、县要求，并按时完成了项目资金拨付，截至</w:t>
      </w:r>
      <w:bookmarkStart w:id="0" w:name="_GoBack"/>
      <w:bookmarkEnd w:id="0"/>
      <w:r>
        <w:rPr>
          <w:rFonts w:hint="eastAsia" w:ascii="仿宋_GB2312" w:hAnsi="仿宋_GB2312" w:eastAsia="仿宋_GB2312" w:cs="仿宋_GB2312"/>
          <w:b w:val="0"/>
          <w:bCs w:val="0"/>
          <w:color w:val="auto"/>
          <w:kern w:val="0"/>
          <w:position w:val="0"/>
          <w:sz w:val="32"/>
          <w:szCs w:val="32"/>
          <w:highlight w:val="none"/>
          <w:lang w:val="en-US" w:eastAsia="zh-CN" w:bidi="ar-SA"/>
        </w:rPr>
        <w:t>2025年12月31日，资金使用率达100%。</w:t>
      </w:r>
    </w:p>
    <w:p w14:paraId="5B35E0F5">
      <w:pPr>
        <w:pageBreakBefore w:val="0"/>
        <w:widowControl/>
        <w:numPr>
          <w:ilvl w:val="0"/>
          <w:numId w:val="0"/>
        </w:numPr>
        <w:kinsoku/>
        <w:wordWrap/>
        <w:overflowPunct/>
        <w:topLinePunct w:val="0"/>
        <w:autoSpaceDE/>
        <w:autoSpaceDN/>
        <w:bidi w:val="0"/>
        <w:adjustRightInd/>
        <w:spacing w:line="560" w:lineRule="exact"/>
        <w:ind w:firstLine="640" w:firstLineChars="200"/>
        <w:jc w:val="left"/>
        <w:textAlignment w:val="auto"/>
        <w:rPr>
          <w:rFonts w:hint="eastAsia" w:ascii="黑体" w:hAnsi="宋体" w:eastAsia="黑体" w:cs="Times New Roman"/>
          <w:color w:val="auto"/>
          <w:kern w:val="0"/>
          <w:position w:val="3"/>
          <w:sz w:val="32"/>
          <w:szCs w:val="32"/>
          <w:highlight w:val="none"/>
          <w:u w:val="none"/>
          <w:lang w:val="en-US" w:eastAsia="zh-CN" w:bidi="ar-SA"/>
        </w:rPr>
      </w:pPr>
      <w:r>
        <w:rPr>
          <w:rFonts w:hint="eastAsia" w:ascii="黑体" w:hAnsi="宋体" w:eastAsia="黑体" w:cs="Times New Roman"/>
          <w:color w:val="auto"/>
          <w:kern w:val="0"/>
          <w:position w:val="3"/>
          <w:sz w:val="32"/>
          <w:szCs w:val="32"/>
          <w:highlight w:val="none"/>
          <w:u w:val="none"/>
          <w:lang w:val="en-US" w:eastAsia="zh-CN" w:bidi="ar-SA"/>
        </w:rPr>
        <w:t>五、存在主要问题</w:t>
      </w:r>
    </w:p>
    <w:p w14:paraId="7812D19E">
      <w:pPr>
        <w:pageBreakBefore w:val="0"/>
        <w:numPr>
          <w:ilvl w:val="0"/>
          <w:numId w:val="0"/>
        </w:numPr>
        <w:kinsoku/>
        <w:wordWrap/>
        <w:overflowPunct/>
        <w:topLinePunct w:val="0"/>
        <w:autoSpaceDN/>
        <w:bidi w:val="0"/>
        <w:spacing w:line="560" w:lineRule="exact"/>
        <w:ind w:firstLine="640" w:firstLineChars="200"/>
        <w:jc w:val="left"/>
        <w:rPr>
          <w:rFonts w:hint="eastAsia" w:ascii="Times New Roman" w:hAnsi="Times New Roman" w:eastAsia="仿宋_GB2312" w:cs="Times New Roman"/>
          <w:sz w:val="32"/>
          <w:szCs w:val="32"/>
          <w:lang w:val="en-US" w:eastAsia="zh-CN"/>
        </w:rPr>
      </w:pPr>
      <w:r>
        <w:rPr>
          <w:rFonts w:hint="eastAsia" w:ascii="仿宋_GB2312" w:hAnsi="仿宋_GB2312" w:eastAsia="仿宋_GB2312" w:cs="仿宋_GB2312"/>
          <w:color w:val="auto"/>
          <w:sz w:val="32"/>
          <w:szCs w:val="32"/>
          <w:lang w:val="en-US" w:eastAsia="zh-CN"/>
        </w:rPr>
        <w:t>符合接种条件的老年人对接种疫苗存在一些抵触心理，疫苗接种积极性不高。</w:t>
      </w:r>
    </w:p>
    <w:p w14:paraId="1742433E">
      <w:pPr>
        <w:pageBreakBefore w:val="0"/>
        <w:widowControl/>
        <w:numPr>
          <w:ilvl w:val="0"/>
          <w:numId w:val="0"/>
        </w:numPr>
        <w:kinsoku/>
        <w:wordWrap/>
        <w:overflowPunct/>
        <w:topLinePunct w:val="0"/>
        <w:autoSpaceDE/>
        <w:autoSpaceDN/>
        <w:bidi w:val="0"/>
        <w:adjustRightInd/>
        <w:spacing w:line="560" w:lineRule="exact"/>
        <w:ind w:firstLine="640" w:firstLineChars="200"/>
        <w:jc w:val="left"/>
        <w:textAlignment w:val="auto"/>
        <w:rPr>
          <w:rFonts w:hint="eastAsia" w:ascii="黑体" w:hAnsi="宋体" w:eastAsia="黑体" w:cs="Times New Roman"/>
          <w:color w:val="auto"/>
          <w:kern w:val="0"/>
          <w:position w:val="3"/>
          <w:sz w:val="32"/>
          <w:szCs w:val="32"/>
          <w:highlight w:val="none"/>
          <w:u w:val="none"/>
          <w:lang w:val="zh-CN" w:eastAsia="zh-CN" w:bidi="ar-SA"/>
        </w:rPr>
      </w:pPr>
      <w:r>
        <w:rPr>
          <w:rFonts w:hint="eastAsia" w:ascii="黑体" w:hAnsi="宋体" w:eastAsia="黑体" w:cs="Times New Roman"/>
          <w:color w:val="auto"/>
          <w:kern w:val="0"/>
          <w:position w:val="3"/>
          <w:sz w:val="32"/>
          <w:szCs w:val="32"/>
          <w:highlight w:val="none"/>
          <w:u w:val="none"/>
          <w:lang w:val="zh-CN" w:eastAsia="zh-CN" w:bidi="ar-SA"/>
        </w:rPr>
        <w:t>六、改进建议</w:t>
      </w:r>
    </w:p>
    <w:p w14:paraId="5D5C65F0">
      <w:pPr>
        <w:pageBreakBefore w:val="0"/>
        <w:tabs>
          <w:tab w:val="left" w:pos="1911"/>
        </w:tabs>
        <w:kinsoku/>
        <w:wordWrap/>
        <w:overflowPunct/>
        <w:topLinePunct w:val="0"/>
        <w:autoSpaceDN/>
        <w:bidi w:val="0"/>
        <w:spacing w:line="560" w:lineRule="exact"/>
        <w:jc w:val="left"/>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eastAsia" w:ascii="仿宋_GB2312" w:hAnsi="仿宋_GB2312" w:eastAsia="仿宋_GB2312" w:cs="仿宋_GB2312"/>
          <w:b w:val="0"/>
          <w:bCs w:val="0"/>
          <w:color w:val="auto"/>
          <w:kern w:val="0"/>
          <w:position w:val="0"/>
          <w:sz w:val="32"/>
          <w:szCs w:val="32"/>
          <w:highlight w:val="none"/>
          <w:lang w:val="en-US" w:eastAsia="zh-CN" w:bidi="ar-SA"/>
        </w:rPr>
        <w:t xml:space="preserve">   加大接种疫苗宣传活动，提升65周岁及以上老年人对疫苗接种的接受度，进一步提高我县疫苗接种率。</w:t>
      </w:r>
    </w:p>
    <w:p w14:paraId="390510B0">
      <w:pPr>
        <w:pageBreakBefore w:val="0"/>
        <w:kinsoku/>
        <w:wordWrap/>
        <w:overflowPunct/>
        <w:topLinePunct w:val="0"/>
        <w:autoSpaceDN/>
        <w:bidi w:val="0"/>
        <w:spacing w:line="560" w:lineRule="exact"/>
        <w:rPr>
          <w:rFonts w:hint="eastAsia" w:ascii="Times New Roman" w:hAnsi="Times New Roman" w:eastAsia="仿宋_GB2312" w:cs="Times New Roman"/>
          <w:sz w:val="32"/>
          <w:szCs w:val="32"/>
          <w:lang w:val="zh-CN" w:eastAsia="zh-CN"/>
        </w:rPr>
      </w:pPr>
    </w:p>
    <w:p w14:paraId="7EC98E4F">
      <w:pPr>
        <w:keepNext w:val="0"/>
        <w:keepLines w:val="0"/>
        <w:pageBreakBefore w:val="0"/>
        <w:kinsoku/>
        <w:wordWrap/>
        <w:overflowPunct/>
        <w:topLinePunct w:val="0"/>
        <w:autoSpaceDE/>
        <w:autoSpaceDN/>
        <w:bidi w:val="0"/>
        <w:adjustRightInd/>
        <w:snapToGrid w:val="0"/>
        <w:spacing w:line="560" w:lineRule="exact"/>
        <w:textAlignment w:val="auto"/>
        <w:outlineLvl w:val="9"/>
        <w:rPr>
          <w:rFonts w:hint="eastAsia" w:ascii="方正仿宋_GB2312" w:hAnsi="方正仿宋_GB2312" w:eastAsia="方正仿宋_GB2312" w:cs="方正仿宋_GB2312"/>
          <w:color w:val="000000"/>
          <w:kern w:val="0"/>
          <w:sz w:val="32"/>
          <w:szCs w:val="32"/>
          <w:highlight w:val="none"/>
          <w:shd w:val="clear" w:color="auto" w:fill="FFFFFF"/>
          <w:lang w:val="en-US" w:eastAsia="zh-CN"/>
        </w:rPr>
      </w:pPr>
      <w:r>
        <w:rPr>
          <w:rFonts w:hint="eastAsia" w:ascii="Times New Roman" w:hAnsi="Times New Roman" w:eastAsia="仿宋_GB2312" w:cs="Times New Roman"/>
          <w:color w:val="000000"/>
          <w:kern w:val="0"/>
          <w:sz w:val="32"/>
          <w:szCs w:val="32"/>
          <w:highlight w:val="none"/>
          <w:shd w:val="clear" w:color="auto" w:fill="FFFFFF"/>
          <w:lang w:val="en-US" w:eastAsia="zh-CN"/>
        </w:rPr>
        <w:t xml:space="preserve">                      </w:t>
      </w:r>
      <w:r>
        <w:rPr>
          <w:rFonts w:hint="eastAsia" w:ascii="方正仿宋_GB2312" w:hAnsi="方正仿宋_GB2312" w:eastAsia="方正仿宋_GB2312" w:cs="方正仿宋_GB2312"/>
          <w:color w:val="000000"/>
          <w:kern w:val="0"/>
          <w:sz w:val="32"/>
          <w:szCs w:val="32"/>
          <w:highlight w:val="none"/>
          <w:shd w:val="clear" w:color="auto" w:fill="FFFFFF"/>
          <w:lang w:val="en-US" w:eastAsia="zh-CN"/>
        </w:rPr>
        <w:t xml:space="preserve">  黑水县疾病预防控制中心</w:t>
      </w:r>
    </w:p>
    <w:p w14:paraId="1E4CD8AF">
      <w:pPr>
        <w:keepNext w:val="0"/>
        <w:keepLines w:val="0"/>
        <w:pageBreakBefore w:val="0"/>
        <w:kinsoku/>
        <w:wordWrap/>
        <w:overflowPunct/>
        <w:topLinePunct w:val="0"/>
        <w:autoSpaceDE/>
        <w:autoSpaceDN/>
        <w:bidi w:val="0"/>
        <w:adjustRightInd/>
        <w:snapToGrid w:val="0"/>
        <w:spacing w:line="560" w:lineRule="exact"/>
        <w:ind w:left="0" w:leftChars="0" w:firstLine="1600" w:firstLineChars="500"/>
        <w:textAlignment w:val="auto"/>
        <w:outlineLvl w:val="9"/>
        <w:rPr>
          <w:rFonts w:hint="eastAsia"/>
          <w:lang w:val="en-US" w:eastAsia="zh-CN"/>
        </w:rPr>
      </w:pPr>
      <w:r>
        <w:rPr>
          <w:rFonts w:hint="eastAsia" w:ascii="方正仿宋_GB2312" w:hAnsi="方正仿宋_GB2312" w:eastAsia="方正仿宋_GB2312" w:cs="方正仿宋_GB2312"/>
          <w:color w:val="000000"/>
          <w:kern w:val="0"/>
          <w:sz w:val="32"/>
          <w:szCs w:val="32"/>
          <w:highlight w:val="none"/>
          <w:shd w:val="clear" w:color="auto" w:fill="FFFFFF"/>
          <w:lang w:val="en-US" w:eastAsia="zh-CN"/>
        </w:rPr>
        <w:t xml:space="preserve">                  2026年3月31日</w:t>
      </w:r>
      <w:r>
        <w:rPr>
          <w:rFonts w:hint="eastAsia" w:ascii="仿宋_GB2312" w:hAnsi="仿宋_GB2312" w:eastAsia="仿宋_GB2312" w:cs="仿宋_GB2312"/>
          <w:sz w:val="32"/>
          <w:szCs w:val="32"/>
          <w:lang w:val="en-US" w:eastAsia="zh-CN"/>
        </w:rPr>
        <w:t xml:space="preserve">  </w:t>
      </w:r>
      <w:r>
        <w:rPr>
          <w:rFonts w:hint="eastAsia"/>
          <w:lang w:val="en-US" w:eastAsia="zh-CN"/>
        </w:rPr>
        <w:t xml:space="preserve">    </w:t>
      </w:r>
    </w:p>
    <w:sectPr>
      <w:footerReference r:id="rId3" w:type="default"/>
      <w:pgSz w:w="11906" w:h="16838"/>
      <w:pgMar w:top="1587" w:right="2098" w:bottom="1474" w:left="1985"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F4150A0-556C-4CDA-8501-B419C8426F52}"/>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embedRegular r:id="rId2" w:fontKey="{B7BC0D31-4FFA-4BCD-A179-0BB2E8A81B65}"/>
  </w:font>
  <w:font w:name="??">
    <w:altName w:val="仿宋"/>
    <w:panose1 w:val="00000000000000000000"/>
    <w:charset w:val="00"/>
    <w:family w:val="roman"/>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方正小标宋_GBK">
    <w:altName w:val="微软雅黑"/>
    <w:panose1 w:val="02000000000000000000"/>
    <w:charset w:val="86"/>
    <w:family w:val="auto"/>
    <w:pitch w:val="default"/>
    <w:sig w:usb0="00000000" w:usb1="00000000" w:usb2="00000000" w:usb3="00000000" w:csb0="00040000" w:csb1="00000000"/>
    <w:embedRegular r:id="rId3" w:fontKey="{B3E3DBFF-6009-4079-BEC7-096C725E915E}"/>
  </w:font>
  <w:font w:name="楷体_GB2312">
    <w:altName w:val="楷体"/>
    <w:panose1 w:val="02010609030101010101"/>
    <w:charset w:val="86"/>
    <w:family w:val="auto"/>
    <w:pitch w:val="default"/>
    <w:sig w:usb0="00000000" w:usb1="00000000" w:usb2="00000000" w:usb3="00000000" w:csb0="00040000" w:csb1="00000000"/>
    <w:embedRegular r:id="rId4" w:fontKey="{7AD32E29-20EC-4A1C-8985-512C6525FB62}"/>
  </w:font>
  <w:font w:name="方正仿宋_GB2312">
    <w:altName w:val="仿宋"/>
    <w:panose1 w:val="02000000000000000000"/>
    <w:charset w:val="86"/>
    <w:family w:val="auto"/>
    <w:pitch w:val="default"/>
    <w:sig w:usb0="00000000" w:usb1="00000000" w:usb2="00000012" w:usb3="00000000" w:csb0="00040001" w:csb1="00000000"/>
    <w:embedRegular r:id="rId5" w:fontKey="{418ADF3D-3FA3-4BBE-961F-A9BAC2A892F6}"/>
  </w:font>
  <w:font w:name="方正仿宋_GBK">
    <w:altName w:val="微软雅黑"/>
    <w:panose1 w:val="02000000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6591AE">
    <w:pPr>
      <w:pStyle w:val="6"/>
      <w:jc w:val="right"/>
    </w:pPr>
    <w:r>
      <w:rPr>
        <w:rFonts w:hint="eastAsia" w:ascii="宋体" w:hAnsi="宋体"/>
        <w:sz w:val="30"/>
        <w:szCs w:val="30"/>
      </w:rPr>
      <w:t>―</w:t>
    </w:r>
    <w:r>
      <w:rPr>
        <w:rFonts w:hint="eastAsia" w:ascii="宋体" w:hAnsi="宋体"/>
        <w:kern w:val="0"/>
        <w:sz w:val="30"/>
        <w:szCs w:val="30"/>
      </w:rPr>
      <w:t xml:space="preserve"> </w:t>
    </w:r>
    <w:r>
      <w:rPr>
        <w:rFonts w:hint="eastAsia" w:ascii="宋体" w:hAnsi="宋体"/>
        <w:kern w:val="0"/>
        <w:sz w:val="30"/>
        <w:szCs w:val="30"/>
      </w:rPr>
      <w:fldChar w:fldCharType="begin"/>
    </w:r>
    <w:r>
      <w:rPr>
        <w:rFonts w:hint="eastAsia" w:ascii="宋体" w:hAnsi="宋体"/>
        <w:kern w:val="0"/>
        <w:sz w:val="30"/>
        <w:szCs w:val="30"/>
      </w:rPr>
      <w:instrText xml:space="preserve"> PAGE </w:instrText>
    </w:r>
    <w:r>
      <w:rPr>
        <w:rFonts w:hint="eastAsia" w:ascii="宋体" w:hAnsi="宋体"/>
        <w:kern w:val="0"/>
        <w:sz w:val="30"/>
        <w:szCs w:val="30"/>
      </w:rPr>
      <w:fldChar w:fldCharType="separate"/>
    </w:r>
    <w:r>
      <w:rPr>
        <w:rFonts w:ascii="宋体" w:hAnsi="宋体"/>
        <w:kern w:val="0"/>
        <w:sz w:val="30"/>
        <w:szCs w:val="30"/>
      </w:rPr>
      <w:t>1</w:t>
    </w:r>
    <w:r>
      <w:rPr>
        <w:rFonts w:hint="eastAsia" w:ascii="宋体" w:hAnsi="宋体"/>
        <w:kern w:val="0"/>
        <w:sz w:val="30"/>
        <w:szCs w:val="30"/>
      </w:rPr>
      <w:fldChar w:fldCharType="end"/>
    </w:r>
    <w:r>
      <w:rPr>
        <w:rFonts w:hint="eastAsia" w:ascii="宋体" w:hAnsi="宋体"/>
        <w:kern w:val="0"/>
        <w:sz w:val="30"/>
        <w:szCs w:val="30"/>
      </w:rPr>
      <w:t xml:space="preserve"> </w:t>
    </w:r>
    <w:r>
      <w:rPr>
        <w:rFonts w:hint="eastAsia" w:ascii="宋体" w:hAnsi="宋体"/>
        <w:sz w:val="30"/>
        <w:szCs w:val="30"/>
      </w:rPr>
      <w:t>―</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825FD0"/>
    <w:multiLevelType w:val="singleLevel"/>
    <w:tmpl w:val="A1825FD0"/>
    <w:lvl w:ilvl="0" w:tentative="0">
      <w:start w:val="2"/>
      <w:numFmt w:val="chineseCounting"/>
      <w:suff w:val="nothing"/>
      <w:lvlText w:val="（%1）"/>
      <w:lvlJc w:val="left"/>
      <w:rPr>
        <w:rFonts w:hint="eastAsia"/>
      </w:rPr>
    </w:lvl>
  </w:abstractNum>
  <w:abstractNum w:abstractNumId="1">
    <w:nsid w:val="E6857523"/>
    <w:multiLevelType w:val="singleLevel"/>
    <w:tmpl w:val="E6857523"/>
    <w:lvl w:ilvl="0" w:tentative="0">
      <w:start w:val="2"/>
      <w:numFmt w:val="chineseCounting"/>
      <w:suff w:val="nothing"/>
      <w:lvlText w:val="（%1）"/>
      <w:lvlJc w:val="left"/>
      <w:rPr>
        <w:rFonts w:hint="eastAsia"/>
      </w:rPr>
    </w:lvl>
  </w:abstractNum>
  <w:abstractNum w:abstractNumId="2">
    <w:nsid w:val="ECB34FCB"/>
    <w:multiLevelType w:val="singleLevel"/>
    <w:tmpl w:val="ECB34FCB"/>
    <w:lvl w:ilvl="0" w:tentative="0">
      <w:start w:val="3"/>
      <w:numFmt w:val="chineseCounting"/>
      <w:suff w:val="nothing"/>
      <w:lvlText w:val="（%1）"/>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U2NTI2NTM5NGRhNDBmNWI3M2JkNDkwZjA0NDYwNzAifQ=="/>
  </w:docVars>
  <w:rsids>
    <w:rsidRoot w:val="01FD00A0"/>
    <w:rsid w:val="01FD00A0"/>
    <w:rsid w:val="066D2FAB"/>
    <w:rsid w:val="095D50B9"/>
    <w:rsid w:val="0B934203"/>
    <w:rsid w:val="16DB16FF"/>
    <w:rsid w:val="19B4117D"/>
    <w:rsid w:val="1D885A81"/>
    <w:rsid w:val="1EFF1103"/>
    <w:rsid w:val="1FAF55B8"/>
    <w:rsid w:val="273F44C7"/>
    <w:rsid w:val="30C21963"/>
    <w:rsid w:val="31F1039B"/>
    <w:rsid w:val="3E9B5D5C"/>
    <w:rsid w:val="3EB0352C"/>
    <w:rsid w:val="40360E64"/>
    <w:rsid w:val="424D0F6F"/>
    <w:rsid w:val="43A01E09"/>
    <w:rsid w:val="515B7CB7"/>
    <w:rsid w:val="57132F6C"/>
    <w:rsid w:val="6C9E6E28"/>
    <w:rsid w:val="6ECF6B9B"/>
    <w:rsid w:val="6EFBBBEC"/>
    <w:rsid w:val="731F6A02"/>
    <w:rsid w:val="771F27EA"/>
    <w:rsid w:val="7C3B575E"/>
    <w:rsid w:val="7EB43D30"/>
    <w:rsid w:val="A73F5783"/>
    <w:rsid w:val="EA7B12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iPriority="99"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character" w:default="1" w:styleId="11">
    <w:name w:val="Default Paragraph Font"/>
    <w:semiHidden/>
    <w:qFormat/>
    <w:uiPriority w:val="0"/>
  </w:style>
  <w:style w:type="table" w:default="1" w:styleId="10">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4">
    <w:name w:val="Body Text"/>
    <w:basedOn w:val="1"/>
    <w:unhideWhenUsed/>
    <w:qFormat/>
    <w:uiPriority w:val="1"/>
    <w:pPr>
      <w:autoSpaceDE w:val="0"/>
      <w:autoSpaceDN w:val="0"/>
      <w:spacing w:line="480" w:lineRule="auto"/>
      <w:jc w:val="left"/>
    </w:pPr>
    <w:rPr>
      <w:rFonts w:ascii="仿宋" w:hAnsi="仿宋" w:eastAsia="仿宋" w:cs="仿宋"/>
      <w:kern w:val="0"/>
      <w:szCs w:val="32"/>
      <w:lang w:eastAsia="en-US"/>
    </w:rPr>
  </w:style>
  <w:style w:type="paragraph" w:styleId="5">
    <w:name w:val="Body Text Indent"/>
    <w:basedOn w:val="1"/>
    <w:qFormat/>
    <w:uiPriority w:val="0"/>
    <w:pPr>
      <w:spacing w:after="120"/>
      <w:ind w:leftChars="200"/>
    </w:pPr>
    <w:rPr>
      <w:rFonts w:ascii="仿宋_GB2312"/>
      <w:szCs w:val="32"/>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table of figures"/>
    <w:basedOn w:val="1"/>
    <w:next w:val="1"/>
    <w:unhideWhenUsed/>
    <w:qFormat/>
    <w:uiPriority w:val="99"/>
    <w:pPr>
      <w:ind w:left="200" w:leftChars="200" w:hanging="200" w:hangingChars="200"/>
    </w:pPr>
  </w:style>
  <w:style w:type="paragraph" w:styleId="9">
    <w:name w:val="Body Text First Indent 2"/>
    <w:basedOn w:val="5"/>
    <w:unhideWhenUsed/>
    <w:qFormat/>
    <w:uiPriority w:val="99"/>
    <w:pPr>
      <w:ind w:firstLine="420" w:firstLineChars="200"/>
    </w:pPr>
  </w:style>
  <w:style w:type="paragraph" w:customStyle="1" w:styleId="12">
    <w:name w:val="Table Text"/>
    <w:basedOn w:val="1"/>
    <w:semiHidden/>
    <w:qFormat/>
    <w:uiPriority w:val="0"/>
    <w:rPr>
      <w:rFonts w:ascii="仿宋" w:hAnsi="仿宋" w:eastAsia="仿宋" w:cs="仿宋"/>
      <w:sz w:val="24"/>
      <w:szCs w:val="24"/>
      <w:lang w:val="en-US" w:eastAsia="en-US" w:bidi="ar-SA"/>
    </w:rPr>
  </w:style>
  <w:style w:type="table" w:customStyle="1" w:styleId="13">
    <w:name w:val="Table Normal"/>
    <w:semiHidden/>
    <w:unhideWhenUsed/>
    <w:qFormat/>
    <w:uiPriority w:val="0"/>
    <w:tblPr>
      <w:tblCellMar>
        <w:top w:w="0" w:type="dxa"/>
        <w:left w:w="0" w:type="dxa"/>
        <w:bottom w:w="0" w:type="dxa"/>
        <w:right w:w="0" w:type="dxa"/>
      </w:tblCellMar>
    </w:tblPr>
  </w:style>
  <w:style w:type="paragraph" w:customStyle="1" w:styleId="14">
    <w:name w:val="四号正文"/>
    <w:basedOn w:val="1"/>
    <w:qFormat/>
    <w:uiPriority w:val="0"/>
    <w:pPr>
      <w:spacing w:line="360" w:lineRule="auto"/>
    </w:pPr>
    <w:rPr>
      <w:rFonts w:ascii="??" w:hAnsi="??" w:eastAsia="宋体"/>
      <w:color w:val="000000"/>
      <w:kern w:val="0"/>
      <w:sz w:val="28"/>
      <w:szCs w:val="21"/>
      <w:lang w:val="zh-CN" w:eastAsia="zh-CN"/>
    </w:rPr>
  </w:style>
  <w:style w:type="character" w:customStyle="1" w:styleId="15">
    <w:name w:val="font61"/>
    <w:basedOn w:val="11"/>
    <w:qFormat/>
    <w:uiPriority w:val="0"/>
    <w:rPr>
      <w:rFonts w:hint="eastAsia" w:ascii="微软雅黑" w:hAnsi="微软雅黑" w:eastAsia="微软雅黑" w:cs="微软雅黑"/>
      <w:color w:val="000000"/>
      <w:sz w:val="16"/>
      <w:szCs w:val="16"/>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2490</Words>
  <Characters>2721</Characters>
  <Lines>1</Lines>
  <Paragraphs>1</Paragraphs>
  <TotalTime>79</TotalTime>
  <ScaleCrop>false</ScaleCrop>
  <LinksUpToDate>false</LinksUpToDate>
  <CharactersWithSpaces>2798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2023-08-05T00:33:00Z</dcterms:created>
  <dc:creator>高能电脑打印</dc:creator>
  <cp:lastModifiedBy>WPS_1604458475</cp:lastModifiedBy>
  <cp:lastPrinted>2023-08-05T00:44:00Z</cp:lastPrinted>
  <dcterms:modified xsi:type="dcterms:W3CDTF">2026-08-26T07:37:26Z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C7FBB70A6D054FA89F6F8514F87D51BF_13</vt:lpwstr>
  </property>
  <property fmtid="{D5CDD505-2E9C-101B-9397-08002B2CF9AE}" pid="4" name="KSOTemplateDocerSaveRecord">
    <vt:lpwstr>eyJoZGlkIjoiYmMxZWViYzY2OTBkMWNmMDZlNjI2NmUwYzQyZTk2ZTMiLCJ1c2VySWQiOiIxMTM5OTQ5NTAyIn0=</vt:lpwstr>
  </property>
</Properties>
</file>