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DACD8">
      <w:pPr>
        <w:ind w:left="5460" w:hanging="12529" w:hangingChars="2600"/>
        <w:rPr>
          <w:rFonts w:hint="eastAsia"/>
          <w:b/>
          <w:bCs/>
          <w:sz w:val="48"/>
          <w:szCs w:val="48"/>
        </w:rPr>
      </w:pPr>
    </w:p>
    <w:p w14:paraId="66AB9B12">
      <w:pPr>
        <w:rPr>
          <w:rFonts w:hint="eastAsia" w:eastAsiaTheme="minorEastAsia"/>
          <w:lang w:eastAsia="zh-CN"/>
        </w:rPr>
      </w:pPr>
    </w:p>
    <w:p w14:paraId="369603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880" w:firstLineChars="200"/>
        <w:contextualSpacing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highlight w:val="none"/>
          <w:shd w:val="clear" w:color="auto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highlight w:val="none"/>
          <w:shd w:val="clear" w:color="auto" w:fill="FFFFFF"/>
          <w:lang w:eastAsia="zh-CN"/>
        </w:rPr>
        <w:t xml:space="preserve">黑水县疾病预防控制中心 </w:t>
      </w:r>
    </w:p>
    <w:p w14:paraId="58196D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contextualSpacing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highlight w:val="none"/>
          <w:shd w:val="clear" w:color="auto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highlight w:val="none"/>
          <w:shd w:val="clear" w:color="auto" w:fill="FFFFFF"/>
          <w:lang w:eastAsia="zh-CN"/>
        </w:rPr>
        <w:t>2025年度部门整体支出绩效评价报告</w:t>
      </w:r>
    </w:p>
    <w:p w14:paraId="2D1578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contextualSpacing/>
        <w:jc w:val="center"/>
        <w:textAlignment w:val="auto"/>
        <w:outlineLvl w:val="9"/>
        <w:rPr>
          <w:rFonts w:hint="default" w:ascii="方正小标宋_GBK" w:hAnsi="方正小标宋_GBK" w:eastAsia="方正小标宋_GBK" w:cs="方正小标宋_GBK"/>
          <w:b w:val="0"/>
          <w:bCs/>
          <w:sz w:val="44"/>
          <w:szCs w:val="44"/>
          <w:highlight w:val="none"/>
          <w:shd w:val="clear" w:color="auto" w:fill="FFFFFF"/>
          <w:lang w:eastAsia="zh-CN"/>
        </w:rPr>
      </w:pPr>
    </w:p>
    <w:p w14:paraId="78CC77F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一、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部门（单位）基本情况</w:t>
      </w:r>
    </w:p>
    <w:p w14:paraId="7C87B8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机构组成</w:t>
      </w:r>
    </w:p>
    <w:p w14:paraId="098A09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黑水县疾病预防控制中心为县卫生健康局直属的正科级事业单位（一级预算单位）。</w:t>
      </w:r>
    </w:p>
    <w:p w14:paraId="1C111F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（二）机构职能</w:t>
      </w:r>
    </w:p>
    <w:p w14:paraId="2AE008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拟定疾病预防控制工作计划与方案，并组织实施；负责对影响人群生存环境、卫生质量的危险因素进行食品、职业、环境、放射、学校卫生等监测；组织对传染病、地方病、寄生虫病、慢性非传染性疾病、职业病、公害病、学生常见病及意外伤害、中毒等发生、分布和发展的规律进行流行病学监测与调查，并制定预防控制对策；负责对传染病的发生流行和中毒污染事件进行调查处理；为救灾防病和解决重大公共卫生问题提供技术支持；组织实施预防接种；组织开展健康教育与健康促进参与社区卫生服务工作；承担卫生监督检测检验、预防性健康检查；承担爱国卫生运动中与疾病预防控制有关的技术指导；承担疾病预防控制及有关公共卫生信息的报告、管理和预测、预报等工作。</w:t>
      </w:r>
    </w:p>
    <w:p w14:paraId="6A79A3E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人员概况</w:t>
      </w:r>
    </w:p>
    <w:p w14:paraId="5F40D1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2025年12月31日，中心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编制数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36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名，其中：事业管理人员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4人，专技人员31人，事业工勤1人。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在编人员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31人，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其中：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事业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管理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2人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，专技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28人，事业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工勤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1人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。  </w:t>
      </w:r>
    </w:p>
    <w:p w14:paraId="5A7788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shd w:val="clear" w:color="auto" w:fill="FFFFFF"/>
        </w:rPr>
        <w:t>二、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shd w:val="clear" w:color="auto" w:fill="FFFFFF"/>
          <w:lang w:eastAsia="zh-CN"/>
        </w:rPr>
        <w:t>部门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shd w:val="clear" w:color="auto" w:fill="FFFFFF"/>
        </w:rPr>
        <w:t>资金收支情况</w:t>
      </w:r>
    </w:p>
    <w:p w14:paraId="4E3D93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收入情况</w:t>
      </w:r>
    </w:p>
    <w:p w14:paraId="7A69C5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  <w:t>年度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一般公共预算财政拨款收入年初预算数706.94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  <w:t>万元，其中：基本支出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563.38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  <w:t>万元，项目支出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143.56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  <w:t>万元。</w:t>
      </w:r>
    </w:p>
    <w:p w14:paraId="3114B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en-US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年度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一般公共预算财政拨款收入决算数1064.84万元，其中：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  <w:t>基本支出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686.71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万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  <w:t>元，项目支出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378.13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。</w:t>
      </w:r>
    </w:p>
    <w:p w14:paraId="74E7BB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二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）</w:t>
      </w: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支出情况</w:t>
      </w:r>
    </w:p>
    <w:p w14:paraId="1CA433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年初预算支出项目（按功能分类）社会保障和就业支出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104.5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万元，卫生健康支出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550.2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万元，住房保障支出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52.24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万元；项目（按支出性质和经济分类）基本支出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563.38万元，项目支出143.56万元。</w:t>
      </w:r>
    </w:p>
    <w:p w14:paraId="084EE8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决算报表支出项目（按功能分类）社会保障和就业支出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94.92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万元，卫生健康支出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919.86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万元，住房保障支出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50.06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万元；项目（按支出性质和经济分类）基本支出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686.71万元，项目支出378.13万元。</w:t>
      </w:r>
    </w:p>
    <w:p w14:paraId="0C036ED7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结余分配和结转结余情况</w:t>
      </w:r>
    </w:p>
    <w:p w14:paraId="65A9897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2025年决算报表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结转结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余0万元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p w14:paraId="0D8591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shd w:val="clear" w:color="auto" w:fill="FFFFFF"/>
        </w:rPr>
        <w:t>三、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shd w:val="clear" w:color="auto" w:fill="FFFFFF"/>
        </w:rPr>
        <w:t>部门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shd w:val="clear" w:color="auto" w:fill="FFFFFF"/>
          <w:lang w:eastAsia="zh-CN"/>
        </w:rPr>
        <w:t>预算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shd w:val="clear" w:color="auto" w:fill="FFFFFF"/>
        </w:rPr>
        <w:t>绩效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shd w:val="clear" w:color="auto" w:fill="FFFFFF"/>
          <w:lang w:eastAsia="zh-CN"/>
        </w:rPr>
        <w:t>分析</w:t>
      </w:r>
    </w:p>
    <w:p w14:paraId="457629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部门预算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总体绩效分析</w:t>
      </w:r>
      <w:r>
        <w:rPr>
          <w:rFonts w:hint="eastAsia" w:ascii="Times New Roman" w:hAnsi="Times New Roman" w:eastAsia="楷体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(55.5分）</w:t>
      </w:r>
    </w:p>
    <w:p w14:paraId="3520DA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履职效能（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15分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）</w:t>
      </w:r>
    </w:p>
    <w:p w14:paraId="28F355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基本公共卫生服务（分值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  <w:t>5分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）：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加强重点地方病防治监测体系建设，继续开展全覆盖监测，评价防治效果。强化病人救治，科学开展地方病病人对症治疗。加强地方病防治宣传教育，引导群众形成健康的生产生活方式，提高群众防病意识，有效减少地方病发生。</w:t>
      </w:r>
    </w:p>
    <w:p w14:paraId="22CC4A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该项指标得分=年终完成履职效果目标数量÷年初目标设置总数×100%×指标分值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=14÷14×100%×5=5分。</w:t>
      </w:r>
    </w:p>
    <w:p w14:paraId="0AD1C3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重大公共卫生服务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（分值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  <w:t>5分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）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：为0-6岁适龄儿童进行常规接种，开展重点传染病及危险因素监测。健全完善慢性病及其危险因素监测网络，以慢性病综合防控示范区和全民健康生活方式行动为抓手，加强慢性病防控能力建设。加强严重精神障碍患者管理。进一步完善“政府组织领导、部门各负其责、全社会共同参与”的防治机制，全面落实各项艾滋病和性病预防控制措施，提高发生率，扩大治疗覆盖面，提升治疗成功率，降低死亡率，降低新发感染，提高感染者和病人的生活质量。及时发现和规范治疗管理结核病患者，持续降低结核病的感染、发病与死亡，确保结核病疫情稳步下降，提高群众健康水平。全面开展包虫病综合防治，提升我县包虫病防治成效。加强麻风病症状、高危人群、现症病人、疫点监测，强化病例发现，进一步落实麻风病控制策略和措施，消除传染源，减少麻风病危害。强化疟疾监测，及时报告并规范处置疟疾病例；开展食源性寄生虫病监测和防治，有效控制流行程度；开展黑热病监测，减少黑热病新发病例发生。该项指标得分=年终完成履职效果目标数量÷年初目标设置总数×100%×指标分值=31÷31×100%×5=5分。</w:t>
      </w:r>
    </w:p>
    <w:p w14:paraId="4CD1C7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其他卫生健康服务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（分值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  <w:t>5分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）：开展202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  <w:t>5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年度严重精神障碍患者监护人“以奖代补”州、县级补助工作，补助条件，在一个奖补年度内，监护人监护责任评估合格，且被监护人未发生肇事肇祸行为的，予以发放年度“以奖代补”监护补贴。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该项指标得分=年终完成履职效果目标数量÷年初目标设置总数×100%×指标分值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  <w:t>=7÷7×100%×5=5分。</w:t>
      </w:r>
    </w:p>
    <w:p w14:paraId="7BDD13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预算管理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22分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）</w:t>
      </w:r>
    </w:p>
    <w:p w14:paraId="73EB9C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预算编制质量（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  <w:t>8分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）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  <w:t>:该项指标得分=（1-财政拨款预算偏离度）×100%×4+（1-资产配置预算偏离度）×100%×2+（1-政府采购预算偏离度）×100%×2=（1-0）×100%×4+（1-0）×100%×2+（1-0）×100%×2=8分。</w:t>
      </w:r>
    </w:p>
    <w:p w14:paraId="085931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FF000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单位收入统筹</w:t>
      </w:r>
      <w:r>
        <w:rPr>
          <w:rFonts w:hint="eastAsia" w:ascii="Times New Roman" w:hAnsi="Times New Roman" w:eastAsia="仿宋_GB2312" w:cs="Times New Roman"/>
          <w:color w:val="auto"/>
          <w:sz w:val="32"/>
          <w:lang w:val="zh-CN"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4分</w:t>
      </w:r>
      <w:r>
        <w:rPr>
          <w:rFonts w:hint="eastAsia" w:ascii="Times New Roman" w:hAnsi="Times New Roman" w:eastAsia="仿宋_GB2312" w:cs="Times New Roman"/>
          <w:color w:val="auto"/>
          <w:sz w:val="32"/>
          <w:lang w:val="zh-CN" w:eastAsia="zh-CN"/>
        </w:rPr>
        <w:t>）：该项指标得分=（部门自有收入全年执行数÷部门自有收入年初预算数）×100%×2+（财政核定的综合补助比例÷按实际执行测算的综合补助比例）×100%×2</w:t>
      </w: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=（0÷0）×100%×2+（0÷0）×100%×2=4分。</w:t>
      </w:r>
    </w:p>
    <w:p w14:paraId="72F1F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支出执行进度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（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6分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）：该项指标得分=（1至6月预算执行数÷（部门预算数×50%）×2）+（1-1至6月支出预警金额占比×0.8-1至6月支出违规金额占比×0.2）+（1至10月预算执行数÷（部门预算数×83.33%）×2）+（1-1至10月支出预警金额占比×0.8-1至10月支出违规金额占比×0.2）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=（411.94÷（1064.84×50%）×2）+（1-0×0.8-0×0.2）+（709.62÷（1064.84×83.33%）×2）+（1-0×0.8-0）=1.55+1+1.11+1=4.66分。</w:t>
      </w:r>
    </w:p>
    <w:p w14:paraId="72A8FB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预算年终结余</w:t>
      </w:r>
      <w:r>
        <w:rPr>
          <w:rFonts w:hint="eastAsia" w:ascii="Times New Roman" w:hAnsi="Times New Roman" w:eastAsia="仿宋_GB2312" w:cs="Times New Roman"/>
          <w:color w:val="auto"/>
          <w:sz w:val="32"/>
          <w:lang w:val="zh-CN"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2分</w:t>
      </w:r>
      <w:r>
        <w:rPr>
          <w:rFonts w:hint="eastAsia" w:ascii="Times New Roman" w:hAnsi="Times New Roman" w:eastAsia="仿宋_GB2312" w:cs="Times New Roman"/>
          <w:color w:val="auto"/>
          <w:sz w:val="32"/>
          <w:lang w:val="zh-CN" w:eastAsia="zh-CN"/>
        </w:rPr>
        <w:t>）：该项指标得分=（1-部门整体预算结余率）×100%×2</w:t>
      </w: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=（1-0）×100%×2=2分。</w:t>
      </w:r>
    </w:p>
    <w:p w14:paraId="5D557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严控一般性支出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（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2分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）：该项指标得分=基础分值+加分值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=1+1=2分。</w:t>
      </w:r>
    </w:p>
    <w:p w14:paraId="53D47E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楷体_GB2312" w:hAnsi="楷体_GB2312" w:eastAsia="楷体_GB2312" w:cs="楷体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财务管理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8分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）</w:t>
      </w:r>
    </w:p>
    <w:p w14:paraId="32DEED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lang w:val="en-US" w:eastAsia="zh-CN"/>
        </w:rPr>
        <w:t>财务管理制度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lang w:val="zh-CN"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lang w:val="en-US" w:eastAsia="zh-CN"/>
        </w:rPr>
        <w:t>2分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lang w:val="zh-CN" w:eastAsia="zh-CN"/>
        </w:rPr>
        <w:t>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lang w:val="en-US" w:eastAsia="zh-CN"/>
        </w:rPr>
        <w:t>:已建立财务管理办法、预算管理、预算绩效管理实施办法、不相容岗位分离规定、各项费用开支等管理制度，能满足日常费用开支的管控。待完善内控建设制度。</w:t>
      </w:r>
    </w:p>
    <w:p w14:paraId="7923C3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lang w:val="en-US" w:eastAsia="zh-CN"/>
        </w:rPr>
        <w:t>财务岗位设置（2分）：单位设有2名会计员，1名出纳人员（出纳不得兼管稽核、会计档案保管和收入、费用、债权、债务账簿的登记工作，机构设置合理。</w:t>
      </w:r>
    </w:p>
    <w:p w14:paraId="24E3F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4"/>
          <w:lang w:val="en-US" w:eastAsia="zh-CN" w:bidi="ar-SA"/>
        </w:rPr>
        <w:t>资金使用规范（4分）：资金使用规范，账务处理符合事业单位会计账务处理的相关规定，预算项目资金分配科学、拨付合规、使用规范，执行准确，不存在挪用、挤占、截留等违规情况。</w:t>
      </w:r>
    </w:p>
    <w:p w14:paraId="662654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4"/>
          <w:lang w:val="zh-CN" w:eastAsia="zh-CN" w:bidi="ar-SA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default" w:ascii="楷体_GB2312" w:hAnsi="楷体_GB2312" w:eastAsia="楷体_GB2312" w:cs="楷体_GB2312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资产管理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4"/>
          <w:lang w:val="zh-CN" w:eastAsia="zh-CN" w:bidi="ar-SA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4"/>
          <w:lang w:val="en-US" w:eastAsia="zh-CN" w:bidi="ar-SA"/>
        </w:rPr>
        <w:t>6分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4"/>
          <w:lang w:val="zh-CN" w:eastAsia="zh-CN" w:bidi="ar-SA"/>
        </w:rPr>
        <w:t>）</w:t>
      </w:r>
    </w:p>
    <w:p w14:paraId="45588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人均资产变化率（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1.5分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）：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4"/>
          <w:lang w:val="en-US" w:eastAsia="zh-CN" w:bidi="ar-SA"/>
        </w:rPr>
        <w:t>2025年部门人均资产变化率为20%。部门人均资产增长率为10%。</w:t>
      </w:r>
    </w:p>
    <w:p w14:paraId="050375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FF000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lang w:val="en-US" w:eastAsia="zh-CN"/>
        </w:rPr>
        <w:t>资产利用率（1.5分）：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4"/>
          <w:lang w:val="en-US" w:eastAsia="zh-CN" w:bidi="ar-SA"/>
        </w:rPr>
        <w:t>部门办公家具超最低使用年限资产利用率=超最低使用年限的办公家具账面价值÷办公家具账面价值（万元）×100%=0÷43.03×100%=0</w:t>
      </w:r>
    </w:p>
    <w:p w14:paraId="06239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资产盘活率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（3分）:部门闲置资产占比变化率=(本年闲置资产账面价值÷本年总资产账面价值（万元）)÷(上一年度闲置资产账面价值÷上一年度总资产账面价值)×100%=(0÷3237.59)÷(0÷3083.42)×100%=0分，两年均无闲置资产。</w:t>
      </w:r>
    </w:p>
    <w:p w14:paraId="1D2116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contextualSpacing/>
        <w:jc w:val="left"/>
        <w:textAlignment w:val="auto"/>
        <w:outlineLvl w:val="9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hint="default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采购管理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4.5分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）</w:t>
      </w:r>
    </w:p>
    <w:p w14:paraId="40CA7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支持中小企业发展（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1.5分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）：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2025年政府采购因设备采购要求未向中小企业采购。</w:t>
      </w:r>
    </w:p>
    <w:p w14:paraId="6626C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采购执行率（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3分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）：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2025年政府采购执行率100%。</w:t>
      </w:r>
    </w:p>
    <w:p w14:paraId="319E4D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（二）部门预算项目绩效分析</w:t>
      </w:r>
      <w:r>
        <w:rPr>
          <w:rFonts w:hint="eastAsia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34.33分</w:t>
      </w:r>
      <w:r>
        <w:rPr>
          <w:rFonts w:hint="eastAsia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）</w:t>
      </w: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。</w:t>
      </w:r>
    </w:p>
    <w:p w14:paraId="66BCA0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常年项目绩效分析。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个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（基本公共卫生、重大公共卫生、公共卫生（传染病））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，涉及预算总金额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371.8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月预算执行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257.02万元，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总体进度为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69.13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的项目共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个。</w:t>
      </w:r>
    </w:p>
    <w:p w14:paraId="6FAD48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阶段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一次性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项目绩效分析。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该类项目总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170.08万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元，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1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月预算执行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167.21万元，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总体进度为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98.31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%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。</w:t>
      </w:r>
    </w:p>
    <w:p w14:paraId="1D750E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项目决策（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12分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）</w:t>
      </w:r>
    </w:p>
    <w:p w14:paraId="42581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决策程序（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4分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）：该项指标得分=4-部门未履行事前评估程序的部门预算阶段项目（含一次性项目）数量÷部门预算阶段项目（含一次性项目）总数×100%×4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=4-0÷9×100%×4=4分。</w:t>
      </w:r>
    </w:p>
    <w:p w14:paraId="55DEB8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目标设置（4分）：该项指标得分=4-绩效目标与计划期内的任务量、预算安排不相匹配的部门预算阶段项目（含一次性项目）数量÷部门预算阶段项目（含一次性项目）总数×100%×4=4-0÷9×100%×4=4分。</w:t>
      </w:r>
    </w:p>
    <w:p w14:paraId="53DB6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项目入库（4分）：该项指标得分=4-规定时间未入财政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部门预算阶段项目（含一次性项目）数量÷最终安排部门预算阶段项目（含一次性项目）总数×100%×4=4-0÷9×100%×4=4分。</w:t>
      </w:r>
    </w:p>
    <w:p w14:paraId="26061C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2.项目执行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11.33分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）</w:t>
      </w:r>
    </w:p>
    <w:p w14:paraId="0404B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执行同向（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4分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）：该项指标得分=4-实际列支内容与绩效目标设置方向不相符的部门预算阶段项目（含一次性项目）数量÷部门预算阶段项目（含一次性项目）总数×100%×4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=4-0÷9×100%×4=4分。</w:t>
      </w:r>
    </w:p>
    <w:p w14:paraId="02ACBF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lang w:val="en-US" w:eastAsia="zh-CN"/>
        </w:rPr>
        <w:t>项目调整</w:t>
      </w: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（4分）：该项指标得分=4-应采取未采取收回预算、调整目标等处置措施的部门预算阶段项目（含一次性项目）数量÷应采取收回预算、调整目标等处置措施的部门预算阶段项目（含一次性项目）总数×100%×4=4-0÷0×100%×4=4分。</w:t>
      </w:r>
    </w:p>
    <w:p w14:paraId="2A0ED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执行结果（3.33分）：该项指标得分=预算结余率小于10%的常年项目数量÷部门预算常年项目总数×100%×2+预算结余率小于10%的一次性项目和阶段项目数量÷部门预算一次性项目和阶段项目总数×100%×2=2÷3×100%×2+6÷6×100%×2=3.33分。</w:t>
      </w:r>
    </w:p>
    <w:p w14:paraId="62DB8B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contextualSpacing/>
        <w:jc w:val="left"/>
        <w:textAlignment w:val="auto"/>
        <w:outlineLvl w:val="9"/>
        <w:rPr>
          <w:rFonts w:hint="eastAsia" w:ascii="仿宋" w:hAnsi="仿宋" w:eastAsia="仿宋" w:cs="仿宋"/>
          <w:color w:val="FF000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目标实现（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11分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）</w:t>
      </w:r>
    </w:p>
    <w:p w14:paraId="1870D4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color w:val="FF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通过科学制定细化量化的绩效目标并严格按照目标执行，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2025年黑水县疾病预防控制中心较好地完成了年初制定的工作目标任务，较好地实现了各项绩效目标，绩效目标实际实现程度与预期目标的偏离度较小</w:t>
      </w:r>
      <w:r>
        <w:rPr>
          <w:rFonts w:hint="eastAsia" w:ascii="Times New Roman" w:hAnsi="Times New Roman" w:eastAsia="仿宋_GB2312" w:cs="Times New Roman"/>
          <w:color w:val="FF0000"/>
          <w:kern w:val="2"/>
          <w:sz w:val="32"/>
          <w:szCs w:val="24"/>
          <w:lang w:val="en-US" w:eastAsia="zh-CN" w:bidi="ar-SA"/>
        </w:rPr>
        <w:t>。</w:t>
      </w:r>
    </w:p>
    <w:p w14:paraId="33ECA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目标完成（4分）：该项指标得分=完成绩效目标数量指标的部门预算阶段项目（含一次性项目）数量÷部门预算阶段项目（含一次性项目）总数×100%×4=9÷9×100%×4=4分。</w:t>
      </w:r>
    </w:p>
    <w:p w14:paraId="7AB23C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lang w:val="en-US" w:eastAsia="zh-CN"/>
        </w:rPr>
        <w:t>目标偏离</w:t>
      </w: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（4分）：该项指标得分=已完成预期指标值的数量指标中偏离度在30%内的指标个数÷已完成预期指标值的数量指标个数×100%×4=0÷30×100%×4=4分。</w:t>
      </w:r>
    </w:p>
    <w:p w14:paraId="76D47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实现效果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（3分）：该项指标得分=完成绩效目标效益指标的部门预算阶段项目（含一次性项目）数量÷部门预算阶段项目（含一次性项目）总数×100%×3=9÷9×100%×3=3分。</w:t>
      </w:r>
    </w:p>
    <w:p w14:paraId="39044C5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（三）</w:t>
      </w: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重点领域</w:t>
      </w: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绩效分析</w:t>
      </w: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。</w:t>
      </w:r>
    </w:p>
    <w:p w14:paraId="5CCFA9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2025年</w:t>
      </w: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黑水县疾病预防控制中心涉及重点领域绩效分析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1个，（2023年省级补助资金疾控机构能力建设项目绩效评价）</w:t>
      </w: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。评价结果良。</w:t>
      </w:r>
    </w:p>
    <w:p w14:paraId="15164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楷体_GB2312" w:cs="Times New Roman"/>
          <w:b/>
          <w:bCs/>
          <w:color w:val="auto"/>
          <w:sz w:val="32"/>
          <w:szCs w:val="32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zh-CN"/>
        </w:rPr>
        <w:t>（四）绩效结果应用情况</w:t>
      </w:r>
    </w:p>
    <w:p w14:paraId="2E37E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黑水县疾病预防控制中心高度重视自评结果，及时进行了整理、汇总、分析、反馈绩效自评结果，将各项目绩效目标制定和自评情况纳入中心绩效目标考核体系，考核结果作为项目资金安排的重要依据，并指导下一年度预算工作。同时本绩效报告将向县财政局报送，按要求将相关绩效信息随同决算公开，并自愿接受社会各界人民群众的监督。</w:t>
      </w:r>
    </w:p>
    <w:p w14:paraId="5BB9B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2025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zh-CN" w:eastAsia="zh-CN"/>
        </w:rPr>
        <w:t>年预算编制情况在县财政部门批复后，及时在黑水县政务信息公开网站上对外公开，接受社会监督。202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zh-CN" w:eastAsia="zh-CN"/>
        </w:rPr>
        <w:t>年决算待县财政部门批复后公开。</w:t>
      </w:r>
    </w:p>
    <w:p w14:paraId="0B0B74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shd w:val="clear" w:color="auto" w:fill="FFFFFF"/>
          <w:lang w:eastAsia="zh-CN"/>
        </w:rPr>
        <w:t>四、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shd w:val="clear" w:color="auto" w:fill="FFFFFF"/>
        </w:rPr>
        <w:t>评价结论及建议</w:t>
      </w:r>
    </w:p>
    <w:p w14:paraId="29C4CB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（一）评价结论。</w:t>
      </w:r>
    </w:p>
    <w:p w14:paraId="0647F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2025年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zh-CN" w:eastAsia="zh-CN"/>
        </w:rPr>
        <w:t>县疾病预防控制中心严格按照相关程序组织实施项目工作，项目支出保障了疾病预防等重点工作的开展，均达到了预期绩效目标。中心财政拨款支出主要用于保障该部门机构正常运转、完成日常工作任务以及做好地方病及慢性病综合防治工作、抓好结核病、艾滋病防治工作、继续抓好传染病、计划免疫等工作、提高人民群众健康指数等相关工作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2025年部门整体支出绩效自评综合得分89.83分，完成情况较好。</w:t>
      </w:r>
    </w:p>
    <w:p w14:paraId="460ACF9B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zh-CN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存在问题。</w:t>
      </w:r>
    </w:p>
    <w:p w14:paraId="2326454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zh-CN" w:eastAsia="zh-CN" w:bidi="ar-SA"/>
        </w:rPr>
        <w:t>项目资金使用效益有待进一步提高，资金执行率较低。</w:t>
      </w:r>
    </w:p>
    <w:p w14:paraId="7D1508CD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highlight w:val="none"/>
          <w:shd w:val="clear" w:color="auto" w:fill="FFFFFF"/>
          <w:lang w:val="zh-CN" w:eastAsia="zh-CN"/>
        </w:rPr>
        <w:t>改进建议。</w:t>
      </w:r>
    </w:p>
    <w:p w14:paraId="507C1FF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  <w:t>加强预算执行分析，提高运行效率和使用效益，提高对预算执行分析工作的重视，切实发挥财政预算执行分析工作的重要意义，牢牢把握预算执行分析工作真实性、及时性和全面性的要求，进一步提高财政预算的管理和决策水平，合理规范使用资金，提高资金使用效益。</w:t>
      </w:r>
    </w:p>
    <w:p w14:paraId="0267ED2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</w:pPr>
    </w:p>
    <w:p w14:paraId="328AC75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</w:pPr>
    </w:p>
    <w:p w14:paraId="394B710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</w:pPr>
    </w:p>
    <w:p w14:paraId="51987B9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</w:pPr>
    </w:p>
    <w:p w14:paraId="18C1BA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          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 xml:space="preserve">  黑水县疾病预防控制中心</w:t>
      </w:r>
    </w:p>
    <w:p w14:paraId="22B062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      2026年3月31日</w:t>
      </w:r>
    </w:p>
    <w:p w14:paraId="1B57C1E5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9DFEF9A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12D5C0B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BE241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</w:t>
      </w:r>
    </w:p>
    <w:p w14:paraId="1E580E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330ECE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 w14:paraId="25DA457F">
      <w:pPr>
        <w:pStyle w:val="11"/>
        <w:rPr>
          <w:rFonts w:hint="default"/>
          <w:lang w:val="en-US" w:eastAsia="zh-CN"/>
        </w:rPr>
      </w:pPr>
    </w:p>
    <w:p w14:paraId="33A19095">
      <w:pPr>
        <w:pStyle w:val="11"/>
        <w:rPr>
          <w:rFonts w:hint="default"/>
          <w:lang w:val="en-US" w:eastAsia="zh-CN"/>
        </w:rPr>
      </w:pPr>
    </w:p>
    <w:p w14:paraId="2C6AE2B7">
      <w:pPr>
        <w:pStyle w:val="11"/>
        <w:spacing w:before="0" w:after="0" w:line="240" w:lineRule="auto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587" w:right="2098" w:bottom="1474" w:left="198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??">
    <w:altName w:val="仿宋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E1C1E">
    <w:pPr>
      <w:pStyle w:val="5"/>
      <w:jc w:val="right"/>
    </w:pPr>
    <w:r>
      <w:rPr>
        <w:rFonts w:hint="eastAsia" w:ascii="宋体" w:hAnsi="宋体"/>
        <w:sz w:val="30"/>
        <w:szCs w:val="30"/>
      </w:rPr>
      <w:t>―</w:t>
    </w:r>
    <w:r>
      <w:rPr>
        <w:rFonts w:hint="eastAsia" w:ascii="宋体" w:hAnsi="宋体"/>
        <w:kern w:val="0"/>
        <w:sz w:val="30"/>
        <w:szCs w:val="30"/>
      </w:rPr>
      <w:t xml:space="preserve"> </w:t>
    </w:r>
    <w:r>
      <w:rPr>
        <w:rFonts w:hint="eastAsia" w:ascii="宋体" w:hAnsi="宋体"/>
        <w:kern w:val="0"/>
        <w:sz w:val="30"/>
        <w:szCs w:val="30"/>
      </w:rPr>
      <w:fldChar w:fldCharType="begin"/>
    </w:r>
    <w:r>
      <w:rPr>
        <w:rFonts w:hint="eastAsia" w:ascii="宋体" w:hAnsi="宋体"/>
        <w:kern w:val="0"/>
        <w:sz w:val="30"/>
        <w:szCs w:val="30"/>
      </w:rPr>
      <w:instrText xml:space="preserve"> PAGE </w:instrText>
    </w:r>
    <w:r>
      <w:rPr>
        <w:rFonts w:hint="eastAsia" w:ascii="宋体" w:hAnsi="宋体"/>
        <w:kern w:val="0"/>
        <w:sz w:val="30"/>
        <w:szCs w:val="30"/>
      </w:rPr>
      <w:fldChar w:fldCharType="separate"/>
    </w:r>
    <w:r>
      <w:rPr>
        <w:rFonts w:ascii="宋体" w:hAnsi="宋体"/>
        <w:kern w:val="0"/>
        <w:sz w:val="30"/>
        <w:szCs w:val="30"/>
      </w:rPr>
      <w:t>1</w:t>
    </w:r>
    <w:r>
      <w:rPr>
        <w:rFonts w:hint="eastAsia" w:ascii="宋体" w:hAnsi="宋体"/>
        <w:kern w:val="0"/>
        <w:sz w:val="30"/>
        <w:szCs w:val="30"/>
      </w:rPr>
      <w:fldChar w:fldCharType="end"/>
    </w:r>
    <w:r>
      <w:rPr>
        <w:rFonts w:hint="eastAsia" w:ascii="宋体" w:hAnsi="宋体"/>
        <w:kern w:val="0"/>
        <w:sz w:val="30"/>
        <w:szCs w:val="30"/>
      </w:rPr>
      <w:t xml:space="preserve"> </w:t>
    </w:r>
    <w:r>
      <w:rPr>
        <w:rFonts w:hint="eastAsia" w:ascii="宋体" w:hAnsi="宋体"/>
        <w:sz w:val="30"/>
        <w:szCs w:val="30"/>
      </w:rPr>
      <w:t>―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2DEF7F"/>
    <w:multiLevelType w:val="singleLevel"/>
    <w:tmpl w:val="152DEF7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6D10135"/>
    <w:multiLevelType w:val="singleLevel"/>
    <w:tmpl w:val="26D10135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6E6E87B7"/>
    <w:multiLevelType w:val="singleLevel"/>
    <w:tmpl w:val="6E6E87B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2NTI2NTM5NGRhNDBmNWI3M2JkNDkwZjA0NDYwNzAifQ=="/>
  </w:docVars>
  <w:rsids>
    <w:rsidRoot w:val="01FD00A0"/>
    <w:rsid w:val="01FD00A0"/>
    <w:rsid w:val="066D2FAB"/>
    <w:rsid w:val="095D50B9"/>
    <w:rsid w:val="0B934203"/>
    <w:rsid w:val="16DB16FF"/>
    <w:rsid w:val="1D885A81"/>
    <w:rsid w:val="1EEA2FC7"/>
    <w:rsid w:val="1EFF1103"/>
    <w:rsid w:val="235306B8"/>
    <w:rsid w:val="30C21963"/>
    <w:rsid w:val="31F1039B"/>
    <w:rsid w:val="3E9B5D5C"/>
    <w:rsid w:val="40360E64"/>
    <w:rsid w:val="424D0F6F"/>
    <w:rsid w:val="43A01E09"/>
    <w:rsid w:val="515B7CB7"/>
    <w:rsid w:val="57132F6C"/>
    <w:rsid w:val="67E8733C"/>
    <w:rsid w:val="6EFBBBEC"/>
    <w:rsid w:val="70FEC0C2"/>
    <w:rsid w:val="731F6A02"/>
    <w:rsid w:val="771F27EA"/>
    <w:rsid w:val="7C3B575E"/>
    <w:rsid w:val="7EB43D30"/>
    <w:rsid w:val="8FBD27E2"/>
    <w:rsid w:val="A73F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1"/>
    <w:pPr>
      <w:autoSpaceDE w:val="0"/>
      <w:autoSpaceDN w:val="0"/>
      <w:spacing w:line="480" w:lineRule="auto"/>
      <w:jc w:val="left"/>
    </w:pPr>
    <w:rPr>
      <w:rFonts w:ascii="仿宋" w:hAnsi="仿宋" w:eastAsia="仿宋" w:cs="仿宋"/>
      <w:kern w:val="0"/>
      <w:szCs w:val="32"/>
      <w:lang w:eastAsia="en-US"/>
    </w:rPr>
  </w:style>
  <w:style w:type="paragraph" w:styleId="4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8">
    <w:name w:val="Body Text First Indent 2"/>
    <w:basedOn w:val="4"/>
    <w:unhideWhenUsed/>
    <w:qFormat/>
    <w:uiPriority w:val="99"/>
    <w:pPr>
      <w:ind w:firstLine="420" w:firstLineChars="200"/>
    </w:p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2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4209</Words>
  <Characters>4786</Characters>
  <Lines>0</Lines>
  <Paragraphs>0</Paragraphs>
  <TotalTime>3</TotalTime>
  <ScaleCrop>false</ScaleCrop>
  <LinksUpToDate>false</LinksUpToDate>
  <CharactersWithSpaces>4842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2023-08-05T08:33:00Z</dcterms:created>
  <dc:creator>高能电脑打印</dc:creator>
  <cp:lastModifiedBy>WPS_1604458475</cp:lastModifiedBy>
  <cp:lastPrinted>2023-08-05T08:44:00Z</cp:lastPrinted>
  <dcterms:modified xsi:type="dcterms:W3CDTF">2026-08-26T07:32:51Z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0FD328E4C4A74D1CBC3DA9966D084093_13</vt:lpwstr>
  </property>
  <property fmtid="{D5CDD505-2E9C-101B-9397-08002B2CF9AE}" pid="4" name="KSOTemplateDocerSaveRecord">
    <vt:lpwstr>eyJoZGlkIjoiYmMxZWViYzY2OTBkMWNmMDZlNjI2NmUwYzQyZTk2ZTMiLCJ1c2VySWQiOiIxMTM5OTQ5NTAyIn0=</vt:lpwstr>
  </property>
</Properties>
</file>