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黑水县疾病预防控制中心</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基本公共卫生项目专项预算项目绩效评价报告</w:t>
      </w:r>
    </w:p>
    <w:p>
      <w:pPr>
        <w:keepNext w:val="0"/>
        <w:keepLines w:val="0"/>
        <w:pageBreakBefore w:val="0"/>
        <w:widowControl/>
        <w:kinsoku/>
        <w:wordWrap/>
        <w:overflowPunct/>
        <w:topLinePunct w:val="0"/>
        <w:autoSpaceDE/>
        <w:autoSpaceDN/>
        <w:bidi w:val="0"/>
        <w:spacing w:line="560"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2025年度下达我中心基本公共卫生服务中央补助资金共计48.16万元。其中，阿州财社（2025）34号中央直达资金48.16万元。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实施目的：</w:t>
      </w:r>
      <w:r>
        <w:rPr>
          <w:rFonts w:hint="eastAsia" w:ascii="仿宋_GB2312" w:hAnsi="Times New Roman" w:eastAsia="仿宋_GB2312" w:cs="Times New Roman"/>
          <w:sz w:val="32"/>
          <w:szCs w:val="32"/>
          <w:lang w:val="en-US" w:eastAsia="zh-CN"/>
        </w:rPr>
        <w:t>加强重点地方病防治监测体系建设，继续开展全覆盖监测，评价防治效果。强化病人救治，科学开展地方病病人对症治疗。加强地方病防治宣传教育，引导群众形成健康的生产生活方式，提高群众防病意识，有效减少地方病发生。</w:t>
      </w:r>
    </w:p>
    <w:p>
      <w:pPr>
        <w:keepNext w:val="0"/>
        <w:keepLines w:val="0"/>
        <w:pageBreakBefore w:val="0"/>
        <w:widowControl/>
        <w:tabs>
          <w:tab w:val="left" w:pos="2160"/>
        </w:tabs>
        <w:kinsoku/>
        <w:wordWrap/>
        <w:overflowPunct/>
        <w:topLinePunct w:val="0"/>
        <w:autoSpaceDE/>
        <w:autoSpaceDN/>
        <w:bidi w:val="0"/>
        <w:spacing w:line="560" w:lineRule="exact"/>
        <w:ind w:firstLine="640" w:firstLineChars="200"/>
        <w:jc w:val="left"/>
        <w:textAlignment w:val="auto"/>
        <w:rPr>
          <w:rFonts w:hint="default" w:ascii="仿宋_GB2312" w:hAnsi="仿宋_GB2312" w:eastAsia="黑体" w:cs="仿宋_GB2312"/>
          <w:color w:val="auto"/>
          <w:kern w:val="0"/>
          <w:position w:val="3"/>
          <w:sz w:val="32"/>
          <w:szCs w:val="32"/>
          <w:highlight w:val="none"/>
          <w:u w:val="none"/>
          <w:shd w:val="clear" w:color="auto" w:fill="FFFFFF"/>
          <w:lang w:val="en-US" w:eastAsia="zh-CN" w:bidi="ar-SA"/>
        </w:rPr>
      </w:pPr>
      <w:r>
        <w:rPr>
          <w:rFonts w:hint="eastAsia" w:ascii="Times New Roman" w:hAnsi="Times New Roman" w:eastAsia="仿宋_GB2312" w:cs="Times New Roman"/>
          <w:kern w:val="0"/>
          <w:position w:val="3"/>
          <w:sz w:val="32"/>
          <w:szCs w:val="32"/>
          <w:lang w:val="en-US" w:eastAsia="zh-CN" w:bidi="ar-SA"/>
        </w:rPr>
        <w:t>下达资金情况：20</w:t>
      </w:r>
      <w:r>
        <w:rPr>
          <w:rFonts w:hint="eastAsia" w:ascii="楷体_GB2312" w:hAnsi="Times New Roman" w:eastAsia="黑体" w:cs="Times New Roman"/>
          <w:kern w:val="0"/>
          <w:position w:val="3"/>
          <w:sz w:val="32"/>
          <w:szCs w:val="32"/>
          <w:lang w:val="en-US" w:eastAsia="zh-CN" w:bidi="ar-SA"/>
        </w:rPr>
        <w:t>25</w:t>
      </w:r>
      <w:r>
        <w:rPr>
          <w:rFonts w:hint="eastAsia" w:ascii="Times New Roman" w:hAnsi="Times New Roman" w:eastAsia="仿宋_GB2312" w:cs="Times New Roman"/>
          <w:kern w:val="0"/>
          <w:position w:val="3"/>
          <w:sz w:val="32"/>
          <w:szCs w:val="32"/>
          <w:lang w:val="en-US" w:eastAsia="zh-CN" w:bidi="ar-SA"/>
        </w:rPr>
        <w:t>年度中央对我中心转移支付基本公共卫生服务补助资金共计48.16万元。</w:t>
      </w:r>
      <w:r>
        <w:rPr>
          <w:rFonts w:hint="eastAsia" w:ascii="仿宋_GB2312" w:hAnsi="Times New Roman" w:eastAsia="仿宋_GB2312" w:cs="Times New Roman"/>
          <w:kern w:val="0"/>
          <w:position w:val="3"/>
          <w:sz w:val="32"/>
          <w:szCs w:val="32"/>
          <w:lang w:val="en-US" w:eastAsia="zh-CN" w:bidi="ar-SA"/>
        </w:rPr>
        <w:t>其中：地方性氟中毒监测4万元，碘缺乏病监测4.5万元，重点人群碘缺乏病监测3.5万元，</w:t>
      </w:r>
      <w:r>
        <w:rPr>
          <w:rFonts w:hint="eastAsia" w:ascii="Times New Roman" w:hAnsi="Times New Roman" w:eastAsia="仿宋_GB2312" w:cs="Times New Roman"/>
          <w:kern w:val="0"/>
          <w:position w:val="3"/>
          <w:sz w:val="32"/>
          <w:szCs w:val="32"/>
          <w:lang w:val="en-US" w:eastAsia="zh-CN" w:bidi="ar-SA"/>
        </w:rPr>
        <w:t>大骨节病监测经费1.1万元，社会动员1万元，能力建设8万元，职业病防治0.76万元，饮茶型地氟病健康教育1.3万元，健康素养2.5万元，病媒生物4万元，双随机检测2.5万元，基本公卫经费15万元。</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资金下达依据：</w:t>
      </w:r>
      <w:r>
        <w:rPr>
          <w:rFonts w:ascii="Times New Roman" w:hAnsi="Times New Roman" w:eastAsia="仿宋_GB2312" w:cs="Times New Roman"/>
          <w:sz w:val="32"/>
          <w:szCs w:val="32"/>
        </w:rPr>
        <w:t>《阿坝州财政局 阿坝州卫健委</w:t>
      </w:r>
      <w:r>
        <w:rPr>
          <w:rFonts w:ascii="仿宋_GB2312" w:hAnsi="仿宋_GB2312" w:eastAsia="仿宋_GB2312" w:cs="仿宋_GB2312"/>
          <w:color w:val="000000"/>
          <w:kern w:val="0"/>
          <w:sz w:val="32"/>
          <w:szCs w:val="32"/>
          <w:lang w:val="en-US" w:eastAsia="zh-CN" w:bidi="ar"/>
        </w:rPr>
        <w:t xml:space="preserve">关于下达 </w:t>
      </w:r>
      <w:r>
        <w:rPr>
          <w:rFonts w:hint="default" w:ascii="Times New Roman" w:hAnsi="Times New Roman" w:eastAsia="宋体" w:cs="Times New Roman"/>
          <w:color w:val="000000"/>
          <w:kern w:val="0"/>
          <w:sz w:val="32"/>
          <w:szCs w:val="32"/>
          <w:lang w:val="en-US" w:eastAsia="zh-CN" w:bidi="ar"/>
        </w:rPr>
        <w:t>2025</w:t>
      </w:r>
      <w:r>
        <w:rPr>
          <w:rFonts w:ascii="仿宋_GB2312" w:hAnsi="仿宋_GB2312" w:eastAsia="仿宋_GB2312" w:cs="仿宋_GB2312"/>
          <w:color w:val="000000"/>
          <w:kern w:val="0"/>
          <w:sz w:val="32"/>
          <w:szCs w:val="32"/>
          <w:lang w:val="en-US" w:eastAsia="zh-CN" w:bidi="ar"/>
        </w:rPr>
        <w:t>年基本公共卫生服务中央和省级补助资金的通知》（阿州财社〔</w:t>
      </w:r>
      <w:r>
        <w:rPr>
          <w:rFonts w:hint="default" w:ascii="Times New Roman" w:hAnsi="Times New Roman" w:eastAsia="宋体" w:cs="Times New Roman"/>
          <w:color w:val="000000"/>
          <w:kern w:val="0"/>
          <w:sz w:val="32"/>
          <w:szCs w:val="32"/>
          <w:lang w:val="en-US" w:eastAsia="zh-CN" w:bidi="ar"/>
        </w:rPr>
        <w:t>2025</w:t>
      </w:r>
      <w:r>
        <w:rPr>
          <w:rFonts w:ascii="仿宋_GB2312" w:hAnsi="仿宋_GB2312" w:eastAsia="仿宋_GB2312" w:cs="仿宋_GB2312"/>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34</w:t>
      </w:r>
      <w:r>
        <w:rPr>
          <w:rFonts w:ascii="仿宋_GB2312" w:hAnsi="仿宋_GB2312" w:eastAsia="仿宋_GB2312" w:cs="仿宋_GB2312"/>
          <w:color w:val="000000"/>
          <w:kern w:val="0"/>
          <w:sz w:val="32"/>
          <w:szCs w:val="32"/>
          <w:lang w:val="en-US" w:eastAsia="zh-CN" w:bidi="ar"/>
        </w:rPr>
        <w:t>号）</w:t>
      </w:r>
      <w:r>
        <w:rPr>
          <w:rFonts w:ascii="Times New Roman" w:hAnsi="Times New Roman" w:eastAsia="仿宋_GB2312" w:cs="Times New Roman"/>
          <w:sz w:val="32"/>
          <w:szCs w:val="32"/>
        </w:rPr>
        <w:t>资金文件，202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年我中心下达基本公共卫生服务中央补助资金</w:t>
      </w:r>
      <w:r>
        <w:rPr>
          <w:rFonts w:hint="eastAsia" w:ascii="Times New Roman" w:hAnsi="Times New Roman" w:eastAsia="仿宋_GB2312" w:cs="Times New Roman"/>
          <w:sz w:val="32"/>
          <w:szCs w:val="32"/>
          <w:lang w:val="en-US" w:eastAsia="zh-CN"/>
        </w:rPr>
        <w:t>48.16</w:t>
      </w:r>
      <w:r>
        <w:rPr>
          <w:rFonts w:ascii="Times New Roman" w:hAnsi="Times New Roman" w:eastAsia="仿宋_GB2312" w:cs="Times New Roman"/>
          <w:sz w:val="32"/>
          <w:szCs w:val="32"/>
        </w:rPr>
        <w:t>万元。</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项目开展实施方案依据:《关于印发阿坝州2025年中央财政补助艾滋病等重大传染病、寄生虫病和地方病防治项目第一批资金实施方案的通知》阿州卫健发（2025）14号。</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2025年度，我中心下达重点地方病防治及基本公共卫生资金共计48.16万元，截至2025年12月31日，完成资金列支资金共计48.16万元，资金执行率达100%。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数量指标：</w:t>
      </w:r>
      <w:r>
        <w:rPr>
          <w:rFonts w:ascii="Times New Roman" w:hAnsi="Times New Roman" w:eastAsia="仿宋_GB2312" w:cs="Times New Roman"/>
          <w:color w:val="auto"/>
          <w:sz w:val="32"/>
          <w:szCs w:val="32"/>
        </w:rPr>
        <w:t>大骨节病病人治疗任务数</w:t>
      </w:r>
      <w:r>
        <w:rPr>
          <w:rFonts w:hint="eastAsia" w:ascii="Times New Roman" w:hAnsi="Times New Roman" w:eastAsia="仿宋_GB2312" w:cs="Times New Roman"/>
          <w:color w:val="auto"/>
          <w:sz w:val="32"/>
          <w:szCs w:val="32"/>
          <w:lang w:val="en-US" w:eastAsia="zh-CN"/>
        </w:rPr>
        <w:t>80</w:t>
      </w:r>
      <w:r>
        <w:rPr>
          <w:rFonts w:ascii="Times New Roman" w:hAnsi="Times New Roman" w:eastAsia="仿宋_GB2312" w:cs="Times New Roman"/>
          <w:color w:val="auto"/>
          <w:sz w:val="32"/>
          <w:szCs w:val="32"/>
        </w:rPr>
        <w:t>人</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碘缺乏病尿碘检测600份</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碘缺乏病盐碘检测568份</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碘缺乏病水碘检测10份</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寺庙僧人健康教育2所</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质量指标：</w:t>
      </w:r>
      <w:r>
        <w:rPr>
          <w:rFonts w:ascii="Times New Roman" w:hAnsi="Times New Roman" w:eastAsia="仿宋_GB2312" w:cs="Times New Roman"/>
          <w:color w:val="auto"/>
          <w:kern w:val="2"/>
          <w:sz w:val="32"/>
          <w:szCs w:val="32"/>
          <w:lang w:val="en-US" w:eastAsia="zh-CN" w:bidi="ar-SA"/>
        </w:rPr>
        <w:t>提高病区群众地方病防治知识治疗率</w:t>
      </w:r>
      <w:r>
        <w:rPr>
          <w:rFonts w:hint="eastAsia" w:ascii="Times New Roman" w:hAnsi="Times New Roman" w:eastAsia="仿宋_GB2312" w:cs="Times New Roman"/>
          <w:color w:val="auto"/>
          <w:kern w:val="2"/>
          <w:sz w:val="32"/>
          <w:szCs w:val="32"/>
          <w:lang w:val="en-US" w:eastAsia="zh-CN" w:bidi="ar-SA"/>
        </w:rPr>
        <w:t>；</w:t>
      </w:r>
      <w:r>
        <w:rPr>
          <w:rFonts w:ascii="Times New Roman" w:hAnsi="Times New Roman" w:eastAsia="仿宋_GB2312" w:cs="Times New Roman"/>
          <w:color w:val="auto"/>
          <w:kern w:val="2"/>
          <w:sz w:val="32"/>
          <w:szCs w:val="32"/>
          <w:lang w:val="en-US" w:eastAsia="zh-CN" w:bidi="ar-SA"/>
        </w:rPr>
        <w:t>饮茶型地氟病防治知晓率≥80%</w:t>
      </w:r>
      <w:r>
        <w:rPr>
          <w:rFonts w:hint="eastAsia" w:ascii="Times New Roman" w:hAnsi="Times New Roman" w:eastAsia="仿宋_GB2312" w:cs="Times New Roman"/>
          <w:color w:val="auto"/>
          <w:kern w:val="2"/>
          <w:sz w:val="32"/>
          <w:szCs w:val="32"/>
          <w:lang w:val="en-US" w:eastAsia="zh-CN" w:bidi="ar-SA"/>
        </w:rPr>
        <w:t>；</w:t>
      </w:r>
      <w:r>
        <w:rPr>
          <w:rFonts w:ascii="Times New Roman" w:hAnsi="Times New Roman" w:eastAsia="仿宋_GB2312" w:cs="Times New Roman"/>
          <w:color w:val="auto"/>
          <w:kern w:val="2"/>
          <w:sz w:val="32"/>
          <w:szCs w:val="32"/>
          <w:lang w:val="en-US" w:eastAsia="zh-CN" w:bidi="ar-SA"/>
        </w:rPr>
        <w:t>病区监测村8-12周岁儿童氟斑牙监测率≥90%</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效益指标：基本公共卫生服务水平较上年提高；</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满意度指标：受益群众满意度</w:t>
      </w:r>
      <w:r>
        <w:rPr>
          <w:rFonts w:ascii="Times New Roman" w:hAnsi="Times New Roman" w:eastAsia="仿宋_GB2312" w:cs="Times New Roman"/>
          <w:color w:val="auto"/>
          <w:sz w:val="32"/>
          <w:szCs w:val="32"/>
        </w:rPr>
        <w:t>≥90%</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    成本指标：项目成本控制率100%。</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按照绩效评价指标体系，中心从通用指标、专用指标及个性指标对项目开展了绩效评价工作。该项目资金支出使用全过程符合基本公共卫生项目资金实施方案要求，全部用于基本公共卫生服务项目</w:t>
      </w:r>
      <w:r>
        <w:rPr>
          <w:rFonts w:hint="eastAsia" w:ascii="Times New Roman" w:hAnsi="Times New Roman" w:eastAsia="仿宋_GB2312" w:cs="Times New Roman"/>
          <w:sz w:val="32"/>
          <w:szCs w:val="32"/>
          <w:lang w:val="en-US" w:eastAsia="zh-CN"/>
        </w:rPr>
        <w:t>，实施效果与预计效果相符。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2025年资金拨付凭证来进行自评工作，通过核查中心拨付凭证，确定了项目资金的确用于拨付基本公共卫生服务项目。</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评价组人员构成如下：</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组长：郭成慧   指导中心主任 负责全面评价工作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成员：三郎杨初  负责评价体系、框架以及评估工作</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      桑基忠    负责财务相关评价工作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若甲 二古子  负责2025年指导办相关评价工作</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48分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r>
        <w:rPr>
          <w:rFonts w:hint="eastAsia" w:ascii="楷体_GB2312" w:hAnsi="楷体_GB2312" w:eastAsia="楷体_GB2312" w:cs="楷体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auto"/>
          <w:kern w:val="0"/>
          <w:sz w:val="32"/>
          <w:szCs w:val="32"/>
          <w:highlight w:val="none"/>
          <w:u w:val="none"/>
          <w:shd w:val="clear" w:color="auto" w:fill="FFFFFF"/>
          <w:lang w:val="en-US" w:eastAsia="zh-CN"/>
        </w:rPr>
        <w:t>《关于印发阿坝州2025年中央财政补助艾滋病等重大传染病、寄生虫病和地方病防治项目第一批资金实施方案的通知》阿州卫健发（2025）14号</w:t>
      </w:r>
      <w:r>
        <w:rPr>
          <w:rFonts w:hint="eastAsia" w:ascii="仿宋_GB2312" w:hAnsi="仿宋_GB2312" w:eastAsia="仿宋_GB2312" w:cs="仿宋_GB2312"/>
          <w:b w:val="0"/>
          <w:bCs w:val="0"/>
          <w:color w:val="000000"/>
          <w:sz w:val="31"/>
          <w:szCs w:val="31"/>
          <w:lang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：项目规划符合</w:t>
      </w:r>
      <w:r>
        <w:rPr>
          <w:rFonts w:ascii="Times New Roman" w:hAnsi="Times New Roman" w:eastAsia="仿宋_GB2312" w:cs="Times New Roman"/>
          <w:sz w:val="32"/>
          <w:szCs w:val="32"/>
        </w:rPr>
        <w:t>《阿坝州财政局 阿坝州卫健委</w:t>
      </w:r>
      <w:r>
        <w:rPr>
          <w:rFonts w:ascii="仿宋_GB2312" w:hAnsi="仿宋_GB2312" w:eastAsia="仿宋_GB2312" w:cs="仿宋_GB2312"/>
          <w:color w:val="000000"/>
          <w:kern w:val="0"/>
          <w:sz w:val="32"/>
          <w:szCs w:val="32"/>
          <w:lang w:val="en-US" w:eastAsia="zh-CN" w:bidi="ar"/>
        </w:rPr>
        <w:t xml:space="preserve">关于下达 </w:t>
      </w:r>
      <w:r>
        <w:rPr>
          <w:rFonts w:hint="default" w:ascii="Times New Roman" w:hAnsi="Times New Roman" w:eastAsia="宋体" w:cs="Times New Roman"/>
          <w:color w:val="000000"/>
          <w:kern w:val="0"/>
          <w:sz w:val="32"/>
          <w:szCs w:val="32"/>
          <w:lang w:val="en-US" w:eastAsia="zh-CN" w:bidi="ar"/>
        </w:rPr>
        <w:t>2025</w:t>
      </w:r>
      <w:r>
        <w:rPr>
          <w:rFonts w:ascii="仿宋_GB2312" w:hAnsi="仿宋_GB2312" w:eastAsia="仿宋_GB2312" w:cs="仿宋_GB2312"/>
          <w:color w:val="000000"/>
          <w:kern w:val="0"/>
          <w:sz w:val="32"/>
          <w:szCs w:val="32"/>
          <w:lang w:val="en-US" w:eastAsia="zh-CN" w:bidi="ar"/>
        </w:rPr>
        <w:t>年基本公共卫生服务中央和省级补助资金的通知》（阿州财社〔</w:t>
      </w:r>
      <w:r>
        <w:rPr>
          <w:rFonts w:hint="default" w:ascii="Times New Roman" w:hAnsi="Times New Roman" w:eastAsia="宋体" w:cs="Times New Roman"/>
          <w:color w:val="000000"/>
          <w:kern w:val="0"/>
          <w:sz w:val="32"/>
          <w:szCs w:val="32"/>
          <w:lang w:val="en-US" w:eastAsia="zh-CN" w:bidi="ar"/>
        </w:rPr>
        <w:t>2025</w:t>
      </w:r>
      <w:r>
        <w:rPr>
          <w:rFonts w:ascii="仿宋_GB2312" w:hAnsi="仿宋_GB2312" w:eastAsia="仿宋_GB2312" w:cs="仿宋_GB2312"/>
          <w:color w:val="000000"/>
          <w:kern w:val="0"/>
          <w:sz w:val="32"/>
          <w:szCs w:val="32"/>
          <w:lang w:val="en-US" w:eastAsia="zh-CN" w:bidi="ar"/>
        </w:rPr>
        <w:t>〕</w:t>
      </w:r>
      <w:r>
        <w:rPr>
          <w:rFonts w:hint="default" w:ascii="Times New Roman" w:hAnsi="Times New Roman" w:eastAsia="宋体" w:cs="Times New Roman"/>
          <w:color w:val="000000"/>
          <w:kern w:val="0"/>
          <w:sz w:val="32"/>
          <w:szCs w:val="32"/>
          <w:lang w:val="en-US" w:eastAsia="zh-CN" w:bidi="ar"/>
        </w:rPr>
        <w:t>34</w:t>
      </w:r>
      <w:r>
        <w:rPr>
          <w:rFonts w:ascii="仿宋_GB2312" w:hAnsi="仿宋_GB2312" w:eastAsia="仿宋_GB2312" w:cs="仿宋_GB2312"/>
          <w:color w:val="000000"/>
          <w:kern w:val="0"/>
          <w:sz w:val="32"/>
          <w:szCs w:val="32"/>
          <w:lang w:val="en-US" w:eastAsia="zh-CN" w:bidi="ar"/>
        </w:rPr>
        <w:t>号）</w:t>
      </w:r>
      <w:r>
        <w:rPr>
          <w:rFonts w:hint="eastAsia" w:ascii="仿宋_GB2312" w:hAnsi="仿宋_GB2312" w:eastAsia="仿宋_GB2312" w:cs="仿宋_GB2312"/>
          <w:color w:val="auto"/>
          <w:kern w:val="0"/>
          <w:sz w:val="32"/>
          <w:szCs w:val="32"/>
          <w:highlight w:val="none"/>
          <w:u w:val="none"/>
          <w:shd w:val="clear" w:color="auto" w:fill="FFFFFF"/>
          <w:lang w:val="en-US" w:eastAsia="zh-CN"/>
        </w:rPr>
        <w:t>文件要求</w:t>
      </w:r>
      <w:r>
        <w:rPr>
          <w:rFonts w:hint="eastAsia" w:ascii="Times New Roman" w:hAnsi="Times New Roman" w:eastAsia="仿宋_GB2312" w:cs="Times New Roman"/>
          <w:color w:val="auto"/>
          <w:sz w:val="32"/>
          <w:szCs w:val="32"/>
          <w:lang w:eastAsia="zh-CN"/>
        </w:rPr>
        <w:t>；项目充分评估了论证项目立项必要性、前瞻性、合理性和可行性；项目总体绩效目标设置合理性的偏离度≤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（12分）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）：单位未正对该项目单独设立资金管理办法，专项资金的使用严格按照项目实施方案以及财政相关规章制度执行。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）因素分配法：资金分配因素选取充分考虑相关行业事业发展实际和发展需求；资金分配因素的权重设置在实施重点上有待完善；资金区域分布不明显。（</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）：项目按中央、省、州要求全面完成绩效目标（含事前评估）、绩效评价、以前年度问题整改等预算绩效管理工作；省级部门对市县主管部门预算绩效管理要求到位，州、县资金分配和项目管理指导力度充足。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val="zh-CN" w:eastAsia="zh-CN"/>
        </w:rPr>
        <w:t>）：该项指标得分=</w:t>
      </w:r>
      <w:r>
        <w:rPr>
          <w:rFonts w:hint="default" w:ascii="Times New Roman" w:hAnsi="Times New Roman" w:eastAsia="仿宋_GB2312" w:cs="Times New Roman"/>
          <w:color w:val="auto"/>
          <w:sz w:val="32"/>
          <w:szCs w:val="32"/>
          <w:lang w:val="en-US" w:eastAsia="zh-CN"/>
        </w:rPr>
        <w:t>财政资金拨付率×100%×2+</w:t>
      </w:r>
      <w:r>
        <w:rPr>
          <w:rFonts w:hint="eastAsia" w:ascii="Times New Roman" w:hAnsi="Times New Roman" w:eastAsia="仿宋_GB2312" w:cs="Times New Roman"/>
          <w:color w:val="auto"/>
          <w:sz w:val="32"/>
          <w:szCs w:val="32"/>
          <w:lang w:val="en-US" w:eastAsia="zh-CN"/>
        </w:rPr>
        <w:t>单位资金使用</w:t>
      </w:r>
      <w:r>
        <w:rPr>
          <w:rFonts w:hint="default" w:ascii="Times New Roman" w:hAnsi="Times New Roman" w:eastAsia="仿宋_GB2312" w:cs="Times New Roman"/>
          <w:color w:val="auto"/>
          <w:sz w:val="32"/>
          <w:szCs w:val="32"/>
          <w:lang w:val="en-US" w:eastAsia="zh-CN"/>
        </w:rPr>
        <w:t>率×100%×2+地方资金到位率×100%×2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 （9分）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目标完成（6分）：该项指标得分=实际完成目标任务量÷首次批复立项设定绩效目标任务总量×100%×6=14÷14×100%×6=6分。（项目完成目标任务量14，均达到要求。）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完成时效（</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）：该项指标得分=（1-(</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）×100%×3</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指标以月数为单位。实际完成时间-计划完成时间等于0，得</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24.5分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区域均衡性（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）：该项目实施使本县地方病防治能力得到了改善，但改善区域根据实际情况开展，区域均衡性有待调整。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对象精准性（</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80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80</w:t>
      </w:r>
      <w:r>
        <w:rPr>
          <w:rFonts w:hint="eastAsia" w:ascii="Times New Roman" w:hAnsi="Times New Roman" w:eastAsia="仿宋_GB2312" w:cs="Times New Roman"/>
          <w:color w:val="auto"/>
          <w:sz w:val="32"/>
          <w:szCs w:val="32"/>
          <w:lang w:eastAsia="zh-CN"/>
        </w:rPr>
        <w:t>×100%×10</w:t>
      </w:r>
      <w:r>
        <w:rPr>
          <w:rFonts w:hint="eastAsia" w:ascii="Times New Roman" w:hAnsi="Times New Roman" w:eastAsia="仿宋_GB2312" w:cs="Times New Roman"/>
          <w:color w:val="auto"/>
          <w:sz w:val="32"/>
          <w:szCs w:val="32"/>
          <w:lang w:val="en-US" w:eastAsia="zh-CN"/>
        </w:rPr>
        <w:t>=10分。抽样的支持对象总人数80人，不符合支持对象人数0人，抽样的支持对象总人数80人。（选取大骨节病治疗任务数作为自评依据）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red"/>
          <w:lang w:val="en-US" w:eastAsia="zh-CN"/>
        </w:rPr>
      </w:pPr>
      <w:r>
        <w:rPr>
          <w:rFonts w:hint="eastAsia" w:ascii="Times New Roman" w:hAnsi="Times New Roman" w:eastAsia="仿宋_GB2312" w:cs="Times New Roman"/>
          <w:color w:val="auto"/>
          <w:sz w:val="32"/>
          <w:szCs w:val="32"/>
          <w:lang w:eastAsia="zh-CN"/>
        </w:rPr>
        <w:t>标准合理性（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该项指标得分=（80-0）÷80×100%×5=5分。（选取大骨节病治疗任务数作为自评依据）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Times New Roman" w:hAnsi="Times New Roman" w:eastAsia="仿宋_GB2312" w:cs="Times New Roman"/>
          <w:color w:val="auto"/>
          <w:sz w:val="32"/>
          <w:szCs w:val="32"/>
          <w:lang w:eastAsia="zh-CN"/>
        </w:rPr>
        <w:t>群众满意度（</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90%</w:t>
      </w:r>
      <w:r>
        <w:rPr>
          <w:rFonts w:hint="eastAsia" w:ascii="Times New Roman" w:hAnsi="Times New Roman" w:eastAsia="仿宋_GB2312" w:cs="Times New Roman"/>
          <w:color w:val="auto"/>
          <w:sz w:val="32"/>
          <w:szCs w:val="32"/>
          <w:lang w:eastAsia="zh-CN"/>
        </w:rPr>
        <w:t>×100%×5</w:t>
      </w:r>
      <w:r>
        <w:rPr>
          <w:rFonts w:hint="eastAsia" w:ascii="Times New Roman" w:hAnsi="Times New Roman" w:eastAsia="仿宋_GB2312" w:cs="Times New Roman"/>
          <w:color w:val="auto"/>
          <w:sz w:val="32"/>
          <w:szCs w:val="32"/>
          <w:lang w:val="en-US" w:eastAsia="zh-CN"/>
        </w:rPr>
        <w:t>=4.5分。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15.77分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数量指标（7.77分）：</w:t>
      </w:r>
      <w:r>
        <w:rPr>
          <w:rFonts w:ascii="Times New Roman" w:hAnsi="Times New Roman" w:eastAsia="仿宋_GB2312" w:cs="Times New Roman"/>
          <w:color w:val="auto"/>
          <w:sz w:val="32"/>
          <w:szCs w:val="32"/>
        </w:rPr>
        <w:t>大骨节病病人治疗任务数</w:t>
      </w:r>
      <w:r>
        <w:rPr>
          <w:rFonts w:hint="eastAsia" w:ascii="Times New Roman" w:hAnsi="Times New Roman" w:eastAsia="仿宋_GB2312" w:cs="Times New Roman"/>
          <w:color w:val="auto"/>
          <w:sz w:val="32"/>
          <w:szCs w:val="32"/>
          <w:lang w:val="en-US" w:eastAsia="zh-CN"/>
        </w:rPr>
        <w:t>80</w:t>
      </w:r>
      <w:r>
        <w:rPr>
          <w:rFonts w:ascii="Times New Roman" w:hAnsi="Times New Roman" w:eastAsia="仿宋_GB2312" w:cs="Times New Roman"/>
          <w:color w:val="auto"/>
          <w:sz w:val="32"/>
          <w:szCs w:val="32"/>
        </w:rPr>
        <w:t>人，</w:t>
      </w:r>
      <w:r>
        <w:rPr>
          <w:rFonts w:hint="eastAsia" w:ascii="Times New Roman" w:hAnsi="Times New Roman" w:eastAsia="仿宋_GB2312" w:cs="Times New Roman"/>
          <w:color w:val="auto"/>
          <w:sz w:val="32"/>
          <w:szCs w:val="32"/>
          <w:lang w:eastAsia="zh-CN"/>
        </w:rPr>
        <w:t>实际完成值</w:t>
      </w:r>
      <w:r>
        <w:rPr>
          <w:rFonts w:hint="eastAsia" w:ascii="Times New Roman" w:hAnsi="Times New Roman" w:eastAsia="仿宋_GB2312" w:cs="Times New Roman"/>
          <w:color w:val="auto"/>
          <w:sz w:val="32"/>
          <w:szCs w:val="32"/>
          <w:lang w:val="en-US" w:eastAsia="zh-CN"/>
        </w:rPr>
        <w:t>80</w:t>
      </w:r>
      <w:r>
        <w:rPr>
          <w:rFonts w:ascii="Times New Roman" w:hAnsi="Times New Roman" w:eastAsia="仿宋_GB2312" w:cs="Times New Roman"/>
          <w:color w:val="auto"/>
          <w:sz w:val="32"/>
          <w:szCs w:val="32"/>
        </w:rPr>
        <w:t>人</w:t>
      </w:r>
      <w:r>
        <w:rPr>
          <w:rFonts w:hint="eastAsia" w:ascii="Times New Roman" w:hAnsi="Times New Roman" w:eastAsia="仿宋_GB2312" w:cs="Times New Roman"/>
          <w:color w:val="auto"/>
          <w:sz w:val="32"/>
          <w:szCs w:val="32"/>
          <w:lang w:val="en-US" w:eastAsia="zh-CN"/>
        </w:rPr>
        <w:t>（2分）；</w:t>
      </w:r>
      <w:r>
        <w:rPr>
          <w:rFonts w:ascii="Times New Roman" w:hAnsi="Times New Roman" w:eastAsia="仿宋_GB2312" w:cs="Times New Roman"/>
          <w:color w:val="auto"/>
          <w:sz w:val="32"/>
          <w:szCs w:val="32"/>
        </w:rPr>
        <w:t>碘缺乏病尿碘检测600份</w:t>
      </w:r>
      <w:r>
        <w:rPr>
          <w:rFonts w:hint="eastAsia" w:ascii="Times New Roman" w:hAnsi="Times New Roman" w:eastAsia="仿宋_GB2312" w:cs="Times New Roman"/>
          <w:color w:val="auto"/>
          <w:sz w:val="32"/>
          <w:szCs w:val="32"/>
          <w:lang w:val="en-US" w:eastAsia="zh-CN"/>
        </w:rPr>
        <w:t>，实际完成值616份（2分）；</w:t>
      </w:r>
      <w:r>
        <w:rPr>
          <w:rFonts w:ascii="Times New Roman" w:hAnsi="Times New Roman" w:eastAsia="仿宋_GB2312" w:cs="Times New Roman"/>
          <w:color w:val="auto"/>
          <w:sz w:val="32"/>
          <w:szCs w:val="32"/>
        </w:rPr>
        <w:t>碘缺乏病盐碘检测568份</w:t>
      </w:r>
      <w:r>
        <w:rPr>
          <w:rFonts w:hint="eastAsia" w:ascii="Times New Roman" w:hAnsi="Times New Roman" w:eastAsia="仿宋_GB2312" w:cs="Times New Roman"/>
          <w:color w:val="auto"/>
          <w:sz w:val="32"/>
          <w:szCs w:val="32"/>
          <w:lang w:val="en-US" w:eastAsia="zh-CN"/>
        </w:rPr>
        <w:t>，实际完成值504份（1.77分）；</w:t>
      </w:r>
      <w:r>
        <w:rPr>
          <w:rFonts w:ascii="Times New Roman" w:hAnsi="Times New Roman" w:eastAsia="仿宋_GB2312" w:cs="Times New Roman"/>
          <w:color w:val="auto"/>
          <w:sz w:val="32"/>
          <w:szCs w:val="32"/>
        </w:rPr>
        <w:t>碘缺乏病水碘检测10份</w:t>
      </w:r>
      <w:r>
        <w:rPr>
          <w:rFonts w:hint="eastAsia" w:ascii="Times New Roman" w:hAnsi="Times New Roman" w:eastAsia="仿宋_GB2312" w:cs="Times New Roman"/>
          <w:color w:val="auto"/>
          <w:sz w:val="32"/>
          <w:szCs w:val="32"/>
          <w:lang w:val="en-US" w:eastAsia="zh-CN"/>
        </w:rPr>
        <w:t>，实际完成值10份（2分） 。</w:t>
      </w:r>
    </w:p>
    <w:p>
      <w:pPr>
        <w:keepNext w:val="0"/>
        <w:keepLines w:val="0"/>
        <w:pageBreakBefore w:val="0"/>
        <w:widowControl/>
        <w:tabs>
          <w:tab w:val="left" w:pos="2160"/>
        </w:tabs>
        <w:kinsoku/>
        <w:wordWrap/>
        <w:overflowPunct/>
        <w:topLinePunct w:val="0"/>
        <w:autoSpaceDE/>
        <w:autoSpaceDN/>
        <w:bidi w:val="0"/>
        <w:spacing w:line="560" w:lineRule="exact"/>
        <w:ind w:firstLine="640" w:firstLineChars="200"/>
        <w:jc w:val="left"/>
        <w:textAlignment w:val="auto"/>
        <w:rPr>
          <w:rFonts w:hint="default" w:ascii="楷体_GB2312" w:hAnsi="Times New Roman" w:eastAsia="黑体" w:cs="Times New Roman"/>
          <w:kern w:val="0"/>
          <w:position w:val="3"/>
          <w:sz w:val="20"/>
          <w:szCs w:val="20"/>
          <w:lang w:val="en-US" w:eastAsia="zh-CN" w:bidi="ar-SA"/>
        </w:rPr>
      </w:pPr>
      <w:r>
        <w:rPr>
          <w:rFonts w:hint="eastAsia" w:ascii="Times New Roman" w:hAnsi="Times New Roman" w:eastAsia="仿宋_GB2312" w:cs="Times New Roman"/>
          <w:kern w:val="2"/>
          <w:position w:val="0"/>
          <w:sz w:val="32"/>
          <w:szCs w:val="32"/>
          <w:lang w:val="en-US" w:eastAsia="zh-CN" w:bidi="ar-SA"/>
        </w:rPr>
        <w:t>质量指标（8分）：</w:t>
      </w:r>
      <w:r>
        <w:rPr>
          <w:rFonts w:hint="eastAsia" w:ascii="Times New Roman" w:hAnsi="Times New Roman" w:eastAsia="仿宋_GB2312" w:cs="Times New Roman"/>
          <w:color w:val="auto"/>
          <w:kern w:val="2"/>
          <w:position w:val="0"/>
          <w:sz w:val="32"/>
          <w:szCs w:val="32"/>
          <w:lang w:val="en-US" w:eastAsia="zh-CN" w:bidi="ar-SA"/>
        </w:rPr>
        <w:t>饮茶型地氟病防治知晓率≥80%，全年知晓率达90.6%；病区监测村8-12周岁儿童氟斑牙监测率≥90%，全年监测率达100%。</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default" w:ascii="黑体" w:hAnsi="黑体" w:eastAsia="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该项专项预算项目绩效自评总体结论优异，自评得分88.27分，项目实施范围符合州级要求，并按时完成了项目资金拨付，资金使用率达100%。</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lang w:val="en-US" w:eastAsia="zh-CN"/>
        </w:rPr>
        <w:t>居民参与度不高。尽管项目实施过程中开展了卫生知识宣传和健康教育活动，但仍有部分居民的参与度不高。这主要是由于宣传力度不够、宣传方式单一等问题所致。</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大宣传力度，提高健康意识。要利用慢性病随访、发放健康教育服务包等入户机会对群众进行相关知识的健康教育，改变部分群众的不良生活习惯，加强宣传基本公共卫生服务项目内容及国家的相关惠民政策，努力提高群众的健康意识。</w:t>
      </w:r>
    </w:p>
    <w:p>
      <w:pPr>
        <w:pStyle w:val="2"/>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lang w:val="en-US" w:eastAsia="zh-CN"/>
        </w:rPr>
      </w:pPr>
    </w:p>
    <w:p>
      <w:pPr>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lang w:val="en-US" w:eastAsia="zh-CN"/>
        </w:rPr>
      </w:pPr>
      <w:bookmarkStart w:id="0" w:name="_GoBack"/>
      <w:bookmarkEnd w:id="0"/>
    </w:p>
    <w:p>
      <w:pPr>
        <w:pStyle w:val="2"/>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lang w:val="en-US" w:eastAsia="zh-CN"/>
        </w:rPr>
      </w:pPr>
    </w:p>
    <w:p>
      <w:pPr>
        <w:pageBreakBefore w:val="0"/>
        <w:kinsoku/>
        <w:wordWrap/>
        <w:overflowPunct/>
        <w:topLinePunct w:val="0"/>
        <w:autoSpaceDE/>
        <w:autoSpaceDN/>
        <w:bidi w:val="0"/>
        <w:spacing w:line="560" w:lineRule="exact"/>
        <w:textAlignment w:val="auto"/>
        <w:rPr>
          <w:rFonts w:hint="eastAsia"/>
          <w:lang w:val="zh-CN" w:eastAsia="zh-CN"/>
        </w:rPr>
      </w:pPr>
    </w:p>
    <w:p>
      <w:pPr>
        <w:pageBreakBefore w:val="0"/>
        <w:numPr>
          <w:ilvl w:val="0"/>
          <w:numId w:val="0"/>
        </w:numPr>
        <w:kinsoku/>
        <w:wordWrap/>
        <w:overflowPunct/>
        <w:topLinePunct w:val="0"/>
        <w:autoSpaceDE/>
        <w:autoSpaceDN/>
        <w:bidi w:val="0"/>
        <w:spacing w:line="560" w:lineRule="exact"/>
        <w:ind w:firstLine="4748" w:firstLineChars="1484"/>
        <w:jc w:val="both"/>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黑水县疾病预防控制中心</w:t>
      </w:r>
    </w:p>
    <w:p>
      <w:pPr>
        <w:pageBreakBefore w:val="0"/>
        <w:numPr>
          <w:ilvl w:val="0"/>
          <w:numId w:val="0"/>
        </w:numPr>
        <w:kinsoku/>
        <w:wordWrap/>
        <w:overflowPunct/>
        <w:topLinePunct w:val="0"/>
        <w:autoSpaceDE/>
        <w:autoSpaceDN/>
        <w:bidi w:val="0"/>
        <w:spacing w:line="560" w:lineRule="exact"/>
        <w:ind w:firstLine="600"/>
        <w:jc w:val="both"/>
        <w:textAlignment w:val="auto"/>
        <w:rPr>
          <w:rFonts w:hint="eastAsia"/>
          <w:lang w:val="en-US" w:eastAsia="zh-CN"/>
        </w:rPr>
      </w:pPr>
      <w:r>
        <w:rPr>
          <w:rFonts w:hint="eastAsia" w:ascii="方正仿宋_GB2312" w:hAnsi="方正仿宋_GB2312" w:eastAsia="方正仿宋_GB2312" w:cs="方正仿宋_GB2312"/>
          <w:b w:val="0"/>
          <w:bCs w:val="0"/>
          <w:sz w:val="32"/>
          <w:szCs w:val="32"/>
          <w:lang w:val="en-US" w:eastAsia="zh-CN"/>
        </w:rPr>
        <w:t xml:space="preserve">                              2026年3月31日</w:t>
      </w:r>
    </w:p>
    <w:sectPr>
      <w:footerReference r:id="rId3" w:type="default"/>
      <w:pgSz w:w="11906" w:h="16838"/>
      <w:pgMar w:top="1587" w:right="1797" w:bottom="1474" w:left="179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36B6E30"/>
    <w:rsid w:val="095D50B9"/>
    <w:rsid w:val="0B934203"/>
    <w:rsid w:val="13771627"/>
    <w:rsid w:val="16DB16FF"/>
    <w:rsid w:val="1D885A81"/>
    <w:rsid w:val="1EFF1103"/>
    <w:rsid w:val="2E3BCE8A"/>
    <w:rsid w:val="30C21963"/>
    <w:rsid w:val="31F1039B"/>
    <w:rsid w:val="3E9B5D5C"/>
    <w:rsid w:val="40360E64"/>
    <w:rsid w:val="424D0F6F"/>
    <w:rsid w:val="515B7CB7"/>
    <w:rsid w:val="5DE52BA7"/>
    <w:rsid w:val="6CEC2941"/>
    <w:rsid w:val="6EFBBBEC"/>
    <w:rsid w:val="731F6A02"/>
    <w:rsid w:val="771F27EA"/>
    <w:rsid w:val="7C3B575E"/>
    <w:rsid w:val="7EB43D30"/>
    <w:rsid w:val="A73F5783"/>
    <w:rsid w:val="FEBF7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2"/>
    <w:basedOn w:val="5"/>
    <w:unhideWhenUsed/>
    <w:qFormat/>
    <w:uiPriority w:val="99"/>
    <w:pPr>
      <w:ind w:firstLine="420" w:firstLineChars="200"/>
    </w:pPr>
  </w:style>
  <w:style w:type="paragraph" w:customStyle="1" w:styleId="12">
    <w:name w:val="Table Text"/>
    <w:basedOn w:val="1"/>
    <w:semiHidden/>
    <w:qFormat/>
    <w:uiPriority w:val="0"/>
    <w:rPr>
      <w:rFonts w:ascii="仿宋" w:hAnsi="仿宋" w:eastAsia="仿宋" w:cs="仿宋"/>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4688</Words>
  <Characters>5086</Characters>
  <Lines>1</Lines>
  <Paragraphs>1</Paragraphs>
  <TotalTime>2</TotalTime>
  <ScaleCrop>false</ScaleCrop>
  <LinksUpToDate>false</LinksUpToDate>
  <CharactersWithSpaces>5240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2023-08-05T00:33:00Z</dcterms:created>
  <dc:creator>高能电脑打印</dc:creator>
  <cp:lastModifiedBy>huawei</cp:lastModifiedBy>
  <cp:lastPrinted>2023-08-05T00:44:00Z</cp:lastPrinted>
  <dcterms:modified xsi:type="dcterms:W3CDTF">2026-08-26T09:56:25Z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1C3ADD81B4074B19ADA1E9AC8ED27A05_13</vt:lpwstr>
  </property>
  <property fmtid="{D5CDD505-2E9C-101B-9397-08002B2CF9AE}" pid="4" name="KSOTemplateDocerSaveRecord">
    <vt:lpwstr>eyJoZGlkIjoiNGZkZDlkNjg5NWVkNWU2ZDNmZGZjYjczNjZmMTIwMmYiLCJ1c2VySWQiOiIzMjY5NjEzMjEifQ==</vt:lpwstr>
  </property>
</Properties>
</file>