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1DF9B2">
      <w:pPr>
        <w:keepNext w:val="0"/>
        <w:keepLines w:val="0"/>
        <w:pageBreakBefore w:val="0"/>
        <w:widowControl/>
        <w:kinsoku/>
        <w:wordWrap/>
        <w:overflowPunct/>
        <w:topLinePunct w:val="0"/>
        <w:autoSpaceDE/>
        <w:autoSpaceDN/>
        <w:bidi w:val="0"/>
        <w:spacing w:line="560" w:lineRule="exact"/>
        <w:contextualSpacing/>
        <w:jc w:val="center"/>
        <w:textAlignment w:val="auto"/>
        <w:outlineLvl w:val="9"/>
        <w:rPr>
          <w:rFonts w:hint="eastAsia" w:ascii="方正小标宋_GBK" w:hAnsi="方正小标宋_GBK" w:eastAsia="方正小标宋_GBK" w:cs="方正小标宋_GBK"/>
          <w:b w:val="0"/>
          <w:bCs/>
          <w:sz w:val="44"/>
          <w:szCs w:val="44"/>
          <w:highlight w:val="none"/>
          <w:shd w:val="clear" w:color="auto" w:fill="FFFFFF"/>
          <w:lang w:val="en-US" w:eastAsia="zh-CN"/>
        </w:rPr>
      </w:pPr>
      <w:r>
        <w:rPr>
          <w:rFonts w:hint="eastAsia" w:ascii="方正小标宋_GBK" w:hAnsi="方正小标宋_GBK" w:eastAsia="方正小标宋_GBK" w:cs="方正小标宋_GBK"/>
          <w:b w:val="0"/>
          <w:bCs/>
          <w:sz w:val="44"/>
          <w:szCs w:val="44"/>
          <w:highlight w:val="none"/>
          <w:shd w:val="clear" w:color="auto" w:fill="FFFFFF"/>
          <w:lang w:val="en-US" w:eastAsia="zh-CN"/>
        </w:rPr>
        <w:t>黑水县疾病预防控制中心</w:t>
      </w:r>
    </w:p>
    <w:p w14:paraId="5F168CCA">
      <w:pPr>
        <w:keepNext w:val="0"/>
        <w:keepLines w:val="0"/>
        <w:pageBreakBefore w:val="0"/>
        <w:widowControl/>
        <w:kinsoku/>
        <w:wordWrap/>
        <w:overflowPunct/>
        <w:topLinePunct w:val="0"/>
        <w:autoSpaceDE/>
        <w:autoSpaceDN/>
        <w:bidi w:val="0"/>
        <w:spacing w:line="560" w:lineRule="exact"/>
        <w:contextualSpacing/>
        <w:jc w:val="center"/>
        <w:textAlignment w:val="auto"/>
        <w:outlineLvl w:val="9"/>
        <w:rPr>
          <w:rFonts w:hint="eastAsia" w:ascii="方正小标宋_GBK" w:hAnsi="方正小标宋_GBK" w:eastAsia="方正小标宋_GBK" w:cs="方正小标宋_GBK"/>
          <w:b w:val="0"/>
          <w:bCs/>
          <w:sz w:val="44"/>
          <w:szCs w:val="44"/>
          <w:highlight w:val="none"/>
          <w:shd w:val="clear" w:color="auto" w:fill="FFFFFF"/>
          <w:lang w:val="en-US" w:eastAsia="zh-CN"/>
        </w:rPr>
      </w:pPr>
      <w:r>
        <w:rPr>
          <w:rFonts w:hint="eastAsia" w:ascii="方正小标宋_GBK" w:hAnsi="方正小标宋_GBK" w:eastAsia="方正小标宋_GBK" w:cs="方正小标宋_GBK"/>
          <w:b w:val="0"/>
          <w:bCs/>
          <w:sz w:val="44"/>
          <w:szCs w:val="44"/>
          <w:highlight w:val="none"/>
          <w:shd w:val="clear" w:color="auto" w:fill="FFFFFF"/>
          <w:lang w:val="en-US" w:eastAsia="zh-CN"/>
        </w:rPr>
        <w:t>重大公共卫生服务专项预算项目绩效</w:t>
      </w:r>
    </w:p>
    <w:p w14:paraId="01290B92">
      <w:pPr>
        <w:keepNext w:val="0"/>
        <w:keepLines w:val="0"/>
        <w:pageBreakBefore w:val="0"/>
        <w:widowControl/>
        <w:kinsoku/>
        <w:wordWrap/>
        <w:overflowPunct/>
        <w:topLinePunct w:val="0"/>
        <w:autoSpaceDE/>
        <w:autoSpaceDN/>
        <w:bidi w:val="0"/>
        <w:spacing w:line="560" w:lineRule="exact"/>
        <w:contextualSpacing/>
        <w:jc w:val="center"/>
        <w:textAlignment w:val="auto"/>
        <w:outlineLvl w:val="9"/>
        <w:rPr>
          <w:rFonts w:hint="eastAsia" w:ascii="方正小标宋_GBK" w:hAnsi="方正小标宋_GBK" w:eastAsia="方正小标宋_GBK" w:cs="方正小标宋_GBK"/>
          <w:b w:val="0"/>
          <w:bCs/>
          <w:sz w:val="44"/>
          <w:szCs w:val="44"/>
          <w:highlight w:val="none"/>
          <w:shd w:val="clear" w:color="auto" w:fill="FFFFFF"/>
          <w:lang w:val="en-US" w:eastAsia="zh-CN"/>
        </w:rPr>
      </w:pPr>
      <w:r>
        <w:rPr>
          <w:rFonts w:hint="eastAsia" w:ascii="方正小标宋_GBK" w:hAnsi="方正小标宋_GBK" w:eastAsia="方正小标宋_GBK" w:cs="方正小标宋_GBK"/>
          <w:b w:val="0"/>
          <w:bCs/>
          <w:sz w:val="44"/>
          <w:szCs w:val="44"/>
          <w:highlight w:val="none"/>
          <w:shd w:val="clear" w:color="auto" w:fill="FFFFFF"/>
          <w:lang w:val="en-US" w:eastAsia="zh-CN"/>
        </w:rPr>
        <w:t>评价报告</w:t>
      </w:r>
    </w:p>
    <w:p w14:paraId="58142F63">
      <w:pPr>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ascii="宋体" w:hAnsi="宋体" w:eastAsia="宋体" w:cs="Times New Roman"/>
          <w:b w:val="0"/>
          <w:bCs/>
          <w:color w:val="auto"/>
          <w:kern w:val="2"/>
          <w:sz w:val="44"/>
          <w:szCs w:val="44"/>
          <w:highlight w:val="none"/>
          <w:lang w:val="zh-CN" w:eastAsia="zh-CN" w:bidi="ar-SA"/>
        </w:rPr>
      </w:pPr>
    </w:p>
    <w:p w14:paraId="122AA61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宋体" w:eastAsia="黑体" w:cs="Times New Roman"/>
          <w:sz w:val="32"/>
          <w:szCs w:val="32"/>
          <w:highlight w:val="none"/>
          <w:lang w:val="zh-CN"/>
        </w:rPr>
      </w:pPr>
      <w:r>
        <w:rPr>
          <w:rFonts w:hint="eastAsia" w:ascii="黑体" w:hAnsi="宋体" w:eastAsia="黑体" w:cs="Times New Roman"/>
          <w:sz w:val="32"/>
          <w:szCs w:val="32"/>
          <w:highlight w:val="none"/>
        </w:rPr>
        <w:t>一、</w:t>
      </w:r>
      <w:r>
        <w:rPr>
          <w:rFonts w:hint="eastAsia" w:ascii="黑体" w:hAnsi="宋体" w:eastAsia="黑体" w:cs="Times New Roman"/>
          <w:sz w:val="32"/>
          <w:szCs w:val="32"/>
          <w:highlight w:val="none"/>
          <w:lang w:val="zh-CN"/>
        </w:rPr>
        <w:t>项目概况</w:t>
      </w:r>
    </w:p>
    <w:p w14:paraId="0F6EBCA2">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（一）设立背景及基本情况</w:t>
      </w:r>
    </w:p>
    <w:p w14:paraId="7A0BF121">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ascii="仿宋_GB2312" w:hAnsi="仿宋_GB2312" w:eastAsia="仿宋_GB2312" w:cs="仿宋_GB2312"/>
          <w:color w:val="000000"/>
          <w:kern w:val="0"/>
          <w:sz w:val="32"/>
          <w:szCs w:val="32"/>
          <w:lang w:val="en-US" w:eastAsia="zh-CN" w:bidi="ar"/>
        </w:rPr>
        <w:t>为贯彻落实国家有关艾滋病等重大传染病和地方病防治相关法律法规，推动防治工作深入开展，</w:t>
      </w:r>
      <w:r>
        <w:rPr>
          <w:rFonts w:hint="eastAsia" w:ascii="Times New Roman" w:hAnsi="Times New Roman" w:eastAsia="仿宋_GB2312" w:cs="Times New Roman"/>
          <w:sz w:val="32"/>
          <w:szCs w:val="32"/>
          <w:lang w:val="en-US" w:eastAsia="zh-CN"/>
        </w:rPr>
        <w:t>2025年度中央对我中心转移支付重大传染病防控补助资金共计312.92万元，其中，2024年财返资金共计133.02万元；阿州财社（2025）38号141万元；阿州财社（2025）118号35.32万元；阿州财社（2025）66号2万元；申请2024年支付失败重付1.58万元。</w:t>
      </w:r>
    </w:p>
    <w:p w14:paraId="6877D6A5">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3" w:firstLineChars="200"/>
        <w:textAlignment w:val="auto"/>
        <w:rPr>
          <w:rFonts w:hint="default"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p>
    <w:p w14:paraId="249FCDC1">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实施目的：</w:t>
      </w:r>
      <w:r>
        <w:rPr>
          <w:rFonts w:hint="eastAsia" w:ascii="仿宋_GB2312" w:hAnsi="仿宋_GB2312" w:eastAsia="仿宋_GB2312" w:cs="仿宋_GB2312"/>
          <w:color w:val="auto"/>
          <w:sz w:val="32"/>
          <w:szCs w:val="32"/>
        </w:rPr>
        <w:t>为0-6岁适龄儿童进行常规接种，开展重点传染病及危险因素监测。健全完善慢性病及其危险因素监测网络，以慢性病综合防控示范区和全民健康生活方式行动为抓手，加强慢性病防控能力建设。加强严重进一步完善“政府组织领导、部门各负其责、全社会共同参与”的防治机制，全面落实各项艾滋病和性</w:t>
      </w:r>
      <w:r>
        <w:rPr>
          <w:rFonts w:hint="eastAsia" w:ascii="仿宋_GB2312" w:hAnsi="仿宋_GB2312" w:eastAsia="仿宋_GB2312" w:cs="仿宋_GB2312"/>
          <w:color w:val="auto"/>
          <w:sz w:val="32"/>
          <w:szCs w:val="32"/>
          <w:lang w:eastAsia="zh-CN"/>
        </w:rPr>
        <w:t>病、</w:t>
      </w:r>
      <w:r>
        <w:rPr>
          <w:rFonts w:hint="eastAsia" w:ascii="仿宋_GB2312" w:hAnsi="仿宋_GB2312" w:eastAsia="仿宋_GB2312" w:cs="仿宋_GB2312"/>
          <w:color w:val="auto"/>
          <w:sz w:val="32"/>
          <w:szCs w:val="32"/>
        </w:rPr>
        <w:t>精神障碍患者管理预防控制措施，提高发生率，扩大治疗覆盖面，提升治疗成功率，降低死亡率，降低新发感染，提高感染者和病人的生活质量。及时发现和规范治疗管理结核病患者，持续降低结核病的感染、发病与死亡，确保结核病疫情稳步下降，提高群众健康水平。全面开展包虫病综合防治</w:t>
      </w:r>
      <w:r>
        <w:rPr>
          <w:rFonts w:hint="eastAsia" w:ascii="仿宋_GB2312" w:hAnsi="仿宋_GB2312" w:eastAsia="仿宋_GB2312" w:cs="仿宋_GB2312"/>
          <w:color w:val="auto"/>
          <w:sz w:val="32"/>
          <w:szCs w:val="32"/>
          <w:lang w:eastAsia="zh-CN"/>
        </w:rPr>
        <w:t>成效</w:t>
      </w:r>
      <w:r>
        <w:rPr>
          <w:rFonts w:hint="eastAsia" w:ascii="仿宋_GB2312" w:hAnsi="仿宋_GB2312" w:eastAsia="仿宋_GB2312" w:cs="仿宋_GB2312"/>
          <w:color w:val="auto"/>
          <w:sz w:val="32"/>
          <w:szCs w:val="32"/>
        </w:rPr>
        <w:t>，提升我县包虫病防治成加强麻风病症状、高危人群、现症病人、疫点监测，强化病例发现，进一步落实麻风病控制策略和</w:t>
      </w:r>
      <w:r>
        <w:rPr>
          <w:rFonts w:hint="eastAsia" w:ascii="仿宋_GB2312" w:hAnsi="仿宋_GB2312" w:eastAsia="仿宋_GB2312" w:cs="仿宋_GB2312"/>
          <w:color w:val="auto"/>
          <w:sz w:val="32"/>
          <w:szCs w:val="32"/>
          <w:lang w:eastAsia="zh-CN"/>
        </w:rPr>
        <w:t>措施</w:t>
      </w:r>
      <w:r>
        <w:rPr>
          <w:rFonts w:hint="eastAsia" w:ascii="仿宋_GB2312" w:hAnsi="仿宋_GB2312" w:eastAsia="仿宋_GB2312" w:cs="仿宋_GB2312"/>
          <w:color w:val="auto"/>
          <w:sz w:val="32"/>
          <w:szCs w:val="32"/>
        </w:rPr>
        <w:t>。施，消除传染源，减少麻风病危害。强化疟疾监测，及时报告并规范处置疟疾病例:开展食源性寄生虫病监测和防治，有效控制流行程度;开展黑热病监测，减少黑热病新发病例发生。</w:t>
      </w:r>
    </w:p>
    <w:p w14:paraId="1669E9B0">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default"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预算安排及分配管理</w:t>
      </w:r>
    </w:p>
    <w:p w14:paraId="2AD220A9">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资金下达依据：</w:t>
      </w:r>
      <w:r>
        <w:rPr>
          <w:rFonts w:hint="eastAsia" w:ascii="仿宋_GB2312" w:hAnsi="仿宋_GB2312" w:eastAsia="仿宋_GB2312" w:cs="仿宋_GB2312"/>
          <w:color w:val="auto"/>
          <w:sz w:val="32"/>
          <w:szCs w:val="32"/>
        </w:rPr>
        <w:t>根据《阿坝州财政局 阿坝州卫健委关于下达202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年重大传染病</w:t>
      </w:r>
      <w:r>
        <w:rPr>
          <w:rFonts w:hint="eastAsia" w:ascii="仿宋_GB2312" w:hAnsi="仿宋_GB2312" w:eastAsia="仿宋_GB2312" w:cs="仿宋_GB2312"/>
          <w:color w:val="auto"/>
          <w:sz w:val="32"/>
          <w:szCs w:val="32"/>
          <w:lang w:eastAsia="zh-CN"/>
        </w:rPr>
        <w:t>防治</w:t>
      </w:r>
      <w:r>
        <w:rPr>
          <w:rFonts w:hint="eastAsia" w:ascii="仿宋_GB2312" w:hAnsi="仿宋_GB2312" w:eastAsia="仿宋_GB2312" w:cs="仿宋_GB2312"/>
          <w:color w:val="auto"/>
          <w:sz w:val="32"/>
          <w:szCs w:val="32"/>
        </w:rPr>
        <w:t>中央补助资金的通知》(阿州财社〔202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号）</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《阿坝州财政局 阿坝州卫健委关于下达202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年重大传染病</w:t>
      </w:r>
      <w:r>
        <w:rPr>
          <w:rFonts w:hint="eastAsia" w:ascii="仿宋_GB2312" w:hAnsi="仿宋_GB2312" w:eastAsia="仿宋_GB2312" w:cs="仿宋_GB2312"/>
          <w:color w:val="auto"/>
          <w:sz w:val="32"/>
          <w:szCs w:val="32"/>
          <w:lang w:eastAsia="zh-CN"/>
        </w:rPr>
        <w:t>防治</w:t>
      </w:r>
      <w:bookmarkStart w:id="0" w:name="_GoBack"/>
      <w:bookmarkEnd w:id="0"/>
      <w:r>
        <w:rPr>
          <w:rFonts w:hint="eastAsia" w:ascii="仿宋_GB2312" w:hAnsi="仿宋_GB2312" w:eastAsia="仿宋_GB2312" w:cs="仿宋_GB2312"/>
          <w:color w:val="auto"/>
          <w:sz w:val="32"/>
          <w:szCs w:val="32"/>
        </w:rPr>
        <w:t>中央补助资金的通知》(阿州财社〔202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118</w:t>
      </w:r>
      <w:r>
        <w:rPr>
          <w:rFonts w:hint="eastAsia" w:ascii="仿宋_GB2312" w:hAnsi="仿宋_GB2312" w:eastAsia="仿宋_GB2312" w:cs="仿宋_GB2312"/>
          <w:color w:val="auto"/>
          <w:sz w:val="32"/>
          <w:szCs w:val="32"/>
        </w:rPr>
        <w:t>号）</w:t>
      </w:r>
      <w:r>
        <w:rPr>
          <w:rFonts w:hint="eastAsia" w:ascii="仿宋_GB2312" w:hAnsi="仿宋_GB2312" w:eastAsia="仿宋_GB2312" w:cs="仿宋_GB2312"/>
          <w:color w:val="auto"/>
          <w:sz w:val="32"/>
          <w:szCs w:val="32"/>
          <w:lang w:eastAsia="zh-CN"/>
        </w:rPr>
        <w:t>、阿州财社（</w:t>
      </w:r>
      <w:r>
        <w:rPr>
          <w:rFonts w:hint="eastAsia" w:ascii="仿宋_GB2312" w:hAnsi="仿宋_GB2312" w:eastAsia="仿宋_GB2312" w:cs="仿宋_GB2312"/>
          <w:color w:val="auto"/>
          <w:sz w:val="32"/>
          <w:szCs w:val="32"/>
          <w:lang w:val="en-US" w:eastAsia="zh-CN"/>
        </w:rPr>
        <w:t>2025</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66号、《黑水县卫生健康委员会关于解决艾滋病试剂和麻风病病人补助资金的请示》黑卫健（2025）59号。</w:t>
      </w:r>
    </w:p>
    <w:p w14:paraId="74584766">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项目开展实施方案依据:</w:t>
      </w:r>
      <w:r>
        <w:rPr>
          <w:rFonts w:hint="eastAsia" w:ascii="Times New Roman" w:hAnsi="Times New Roman" w:eastAsia="仿宋_GB2312" w:cs="Calibri"/>
          <w:sz w:val="32"/>
          <w:szCs w:val="32"/>
          <w:lang w:val="en-US" w:eastAsia="zh-CN"/>
        </w:rPr>
        <w:t>阿州卫健发（2025)12号、13号、阿州卫健发（2025）14号关于印发阿坝州2025年中央财政补助艾滋病等重大传染病、寄生虫病和地方病防治项目第一批资金实施方案的通知、阿州卫健发（2025）15号。</w:t>
      </w:r>
      <w:r>
        <w:rPr>
          <w:rFonts w:hint="eastAsia" w:ascii="仿宋_GB2312" w:hAnsi="仿宋_GB2312" w:eastAsia="仿宋_GB2312" w:cs="仿宋_GB2312"/>
          <w:color w:val="auto"/>
          <w:kern w:val="0"/>
          <w:sz w:val="32"/>
          <w:szCs w:val="32"/>
          <w:highlight w:val="none"/>
          <w:u w:val="none"/>
          <w:shd w:val="clear" w:color="auto" w:fill="FFFFFF"/>
          <w:lang w:val="en-US" w:eastAsia="zh-CN"/>
        </w:rPr>
        <w:t xml:space="preserve">      </w:t>
      </w:r>
    </w:p>
    <w:p w14:paraId="12FDA84D">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14:paraId="253D834E">
      <w:pPr>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2025年度，我中心下达重大传染病防治资金共计312.92万元，截至2025年12月31日，完成资金列支资金共计198.35万元，资金执行率达63.39%。</w:t>
      </w:r>
    </w:p>
    <w:p w14:paraId="1E6C04B3">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Times New Roman" w:eastAsia="仿宋_GB2312" w:cs="Times New Roman"/>
          <w:sz w:val="32"/>
          <w:szCs w:val="32"/>
          <w:lang w:val="en-US" w:eastAsia="zh-CN"/>
        </w:rPr>
        <w:t>数量指标：</w:t>
      </w:r>
      <w:r>
        <w:rPr>
          <w:rFonts w:hint="eastAsia" w:ascii="仿宋_GB2312" w:hAnsi="仿宋_GB2312" w:eastAsia="仿宋_GB2312" w:cs="仿宋_GB2312"/>
          <w:color w:val="auto"/>
          <w:sz w:val="32"/>
          <w:szCs w:val="32"/>
        </w:rPr>
        <w:t>肺结核患者病原学阳性率≥60%</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病原学阳性肺结核患者耐药筛查率≥90%</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包虫病监测点任务完成率≥</w:t>
      </w:r>
      <w:r>
        <w:rPr>
          <w:rFonts w:hint="eastAsia" w:ascii="仿宋_GB2312" w:hAnsi="仿宋_GB2312" w:eastAsia="仿宋_GB2312" w:cs="仿宋_GB2312"/>
          <w:color w:val="auto"/>
          <w:sz w:val="32"/>
          <w:szCs w:val="32"/>
          <w:lang w:val="en-US" w:eastAsia="zh-CN"/>
        </w:rPr>
        <w:t>90</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包虫病B超筛查任务完成率≥85%</w:t>
      </w:r>
      <w:r>
        <w:rPr>
          <w:rFonts w:hint="eastAsia" w:ascii="仿宋_GB2312" w:hAnsi="仿宋_GB2312" w:eastAsia="仿宋_GB2312" w:cs="仿宋_GB2312"/>
          <w:color w:val="auto"/>
          <w:sz w:val="32"/>
          <w:szCs w:val="32"/>
          <w:lang w:eastAsia="zh-CN"/>
        </w:rPr>
        <w:t>；艾</w:t>
      </w:r>
      <w:r>
        <w:rPr>
          <w:rFonts w:hint="eastAsia" w:ascii="仿宋_GB2312" w:hAnsi="仿宋_GB2312" w:eastAsia="仿宋_GB2312" w:cs="仿宋_GB2312"/>
          <w:color w:val="auto"/>
          <w:sz w:val="32"/>
          <w:szCs w:val="32"/>
        </w:rPr>
        <w:t>滋病血液样本核酸检测</w:t>
      </w:r>
      <w:r>
        <w:rPr>
          <w:rFonts w:hint="eastAsia" w:ascii="仿宋_GB2312" w:hAnsi="仿宋_GB2312" w:eastAsia="仿宋_GB2312" w:cs="仿宋_GB2312"/>
          <w:color w:val="auto"/>
          <w:sz w:val="32"/>
          <w:szCs w:val="32"/>
          <w:lang w:eastAsia="zh-CN"/>
        </w:rPr>
        <w:t>率</w:t>
      </w:r>
      <w:r>
        <w:rPr>
          <w:rFonts w:hint="eastAsia" w:ascii="仿宋_GB2312" w:hAnsi="仿宋_GB2312" w:eastAsia="仿宋_GB2312" w:cs="仿宋_GB2312"/>
          <w:color w:val="auto"/>
          <w:sz w:val="32"/>
          <w:szCs w:val="32"/>
        </w:rPr>
        <w:t>≥90%</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艾滋病人群扩大监测人次数≥17800人次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城乡饮用水水质监测任务数104个</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全县内学生近视及健康体检监测任务数1040人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包虫病血清学辅助诊断=</w:t>
      </w:r>
      <w:r>
        <w:rPr>
          <w:rFonts w:hint="eastAsia" w:ascii="仿宋_GB2312" w:hAnsi="仿宋_GB2312" w:eastAsia="仿宋_GB2312" w:cs="仿宋_GB2312"/>
          <w:color w:val="auto"/>
          <w:sz w:val="32"/>
          <w:szCs w:val="32"/>
          <w:lang w:val="en-US" w:eastAsia="zh-CN"/>
        </w:rPr>
        <w:t>34</w:t>
      </w:r>
      <w:r>
        <w:rPr>
          <w:rFonts w:hint="eastAsia" w:ascii="仿宋_GB2312" w:hAnsi="仿宋_GB2312" w:eastAsia="仿宋_GB2312" w:cs="仿宋_GB2312"/>
          <w:color w:val="auto"/>
          <w:sz w:val="32"/>
          <w:szCs w:val="32"/>
        </w:rPr>
        <w:t>人次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黑热病犬只血液样本检测25只</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乙肝疫苗首针及时接种率≥70%</w:t>
      </w:r>
      <w:r>
        <w:rPr>
          <w:rFonts w:hint="eastAsia" w:ascii="仿宋_GB2312" w:hAnsi="仿宋_GB2312" w:eastAsia="仿宋_GB2312" w:cs="仿宋_GB2312"/>
          <w:color w:val="auto"/>
          <w:sz w:val="32"/>
          <w:szCs w:val="32"/>
          <w:lang w:eastAsia="zh-CN"/>
        </w:rPr>
        <w:t>；新</w:t>
      </w:r>
      <w:r>
        <w:rPr>
          <w:rFonts w:hint="eastAsia" w:ascii="仿宋_GB2312" w:hAnsi="仿宋_GB2312" w:eastAsia="仿宋_GB2312" w:cs="仿宋_GB2312"/>
          <w:color w:val="auto"/>
          <w:sz w:val="32"/>
          <w:szCs w:val="32"/>
        </w:rPr>
        <w:t>生入学结核病检查比例=100%</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适龄儿童建证率=100%</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适龄儿童建档率≥90%</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适龄儿童国家免疫规划免疫接种率≥90%</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入托入学查验补种率≥90%</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肺结核患者和疑似肺结核患者整体到位率≥95%</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肺结核患者成功治疗率≥90%</w:t>
      </w:r>
      <w:r>
        <w:rPr>
          <w:rFonts w:hint="eastAsia" w:ascii="仿宋_GB2312" w:hAnsi="仿宋_GB2312" w:eastAsia="仿宋_GB2312" w:cs="仿宋_GB2312"/>
          <w:color w:val="auto"/>
          <w:sz w:val="32"/>
          <w:szCs w:val="32"/>
          <w:lang w:eastAsia="zh-CN"/>
        </w:rPr>
        <w:t>。</w:t>
      </w:r>
    </w:p>
    <w:p w14:paraId="73B9E62C">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质量指标：</w:t>
      </w:r>
      <w:r>
        <w:rPr>
          <w:rFonts w:hint="eastAsia" w:ascii="仿宋_GB2312" w:hAnsi="仿宋_GB2312" w:eastAsia="仿宋_GB2312" w:cs="仿宋_GB2312"/>
          <w:color w:val="auto"/>
          <w:sz w:val="32"/>
          <w:szCs w:val="32"/>
        </w:rPr>
        <w:t>加强疫苗信息化管理，实现疫苗扫码出入库、扫码接种率100%</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疫苗针对传染病监测完成率100%</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城乡饮用水水质监测点覆盖率≥100%</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艾滋病因补充完成治疗管理人数5人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麻风病病人随访及管理1</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适龄儿童纳入信息系统管理率≥90%</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疑似预防接种异常反应规范处置率≥</w:t>
      </w: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rPr>
        <w:t>0%</w:t>
      </w:r>
      <w:r>
        <w:rPr>
          <w:rFonts w:hint="eastAsia" w:ascii="仿宋_GB2312" w:hAnsi="仿宋_GB2312" w:eastAsia="仿宋_GB2312" w:cs="仿宋_GB2312"/>
          <w:color w:val="auto"/>
          <w:sz w:val="32"/>
          <w:szCs w:val="32"/>
          <w:lang w:eastAsia="zh-CN"/>
        </w:rPr>
        <w:t>。</w:t>
      </w:r>
    </w:p>
    <w:p w14:paraId="78F57E56">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lang w:val="en-US" w:eastAsia="zh-CN"/>
        </w:rPr>
        <w:t>时效指标：项目周期≤1年。</w:t>
      </w:r>
    </w:p>
    <w:p w14:paraId="74E4CE4B">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效益指标：</w:t>
      </w:r>
      <w:r>
        <w:rPr>
          <w:rFonts w:hint="eastAsia" w:ascii="仿宋_GB2312" w:hAnsi="仿宋_GB2312" w:eastAsia="仿宋_GB2312" w:cs="仿宋_GB2312"/>
          <w:color w:val="auto"/>
          <w:sz w:val="32"/>
          <w:szCs w:val="32"/>
        </w:rPr>
        <w:t>持续提高重大传染病防治能力</w:t>
      </w:r>
      <w:r>
        <w:rPr>
          <w:rFonts w:hint="eastAsia" w:ascii="仿宋_GB2312" w:hAnsi="仿宋_GB2312" w:eastAsia="仿宋_GB2312" w:cs="仿宋_GB2312"/>
          <w:sz w:val="32"/>
          <w:szCs w:val="32"/>
          <w:lang w:val="en-US" w:eastAsia="zh-CN"/>
        </w:rPr>
        <w:t>。</w:t>
      </w:r>
    </w:p>
    <w:p w14:paraId="21A8726D">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满意度指标：</w:t>
      </w:r>
      <w:r>
        <w:rPr>
          <w:rFonts w:hint="eastAsia" w:ascii="仿宋_GB2312" w:hAnsi="仿宋_GB2312" w:eastAsia="仿宋_GB2312" w:cs="仿宋_GB2312"/>
          <w:color w:val="auto"/>
          <w:sz w:val="32"/>
          <w:szCs w:val="32"/>
        </w:rPr>
        <w:t>预防接种儿童家长满意度≥90%</w:t>
      </w:r>
      <w:r>
        <w:rPr>
          <w:rFonts w:hint="eastAsia" w:ascii="仿宋_GB2312" w:hAnsi="仿宋_GB2312" w:eastAsia="仿宋_GB2312" w:cs="仿宋_GB2312"/>
          <w:sz w:val="32"/>
          <w:szCs w:val="32"/>
          <w:lang w:val="en-US" w:eastAsia="zh-CN"/>
        </w:rPr>
        <w:t>。</w:t>
      </w:r>
    </w:p>
    <w:p w14:paraId="7982A765">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成本指标：项目成本控制率≥100%</w:t>
      </w:r>
    </w:p>
    <w:p w14:paraId="7647559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黑体" w:hAnsi="宋体" w:eastAsia="黑体" w:cs="Times New Roman"/>
          <w:sz w:val="32"/>
          <w:szCs w:val="32"/>
          <w:highlight w:val="none"/>
          <w:lang w:eastAsia="zh-CN"/>
        </w:rPr>
      </w:pPr>
      <w:r>
        <w:rPr>
          <w:rFonts w:hint="eastAsia" w:ascii="黑体" w:hAnsi="宋体" w:eastAsia="黑体" w:cs="Times New Roman"/>
          <w:sz w:val="32"/>
          <w:szCs w:val="32"/>
          <w:highlight w:val="none"/>
        </w:rPr>
        <w:t>二、</w:t>
      </w:r>
      <w:r>
        <w:rPr>
          <w:rFonts w:hint="eastAsia" w:ascii="黑体" w:hAnsi="宋体" w:eastAsia="黑体" w:cs="Times New Roman"/>
          <w:sz w:val="32"/>
          <w:szCs w:val="32"/>
          <w:highlight w:val="none"/>
          <w:lang w:eastAsia="zh-CN"/>
        </w:rPr>
        <w:t>评价实施</w:t>
      </w:r>
    </w:p>
    <w:p w14:paraId="342ECE5A">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（一）评价目的</w:t>
      </w:r>
    </w:p>
    <w:p w14:paraId="4316354E">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zh-CN" w:eastAsia="zh-CN"/>
        </w:rPr>
        <w:t>通过项目绩效自评，确定项目开展效果，项目开展内容是否达到上级部门下达的指标要求。</w:t>
      </w:r>
    </w:p>
    <w:p w14:paraId="2B293B7F">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3"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预设问题及评价重点</w:t>
      </w:r>
    </w:p>
    <w:p w14:paraId="3B8357EC">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按照绩效评价指标体系，中心从通用指标、专用指标及个性指标对项目开展了绩效评价工作。该项目资金支出使用全过程符合重大传染病项目资金实施方案要求，全部用于重大传染病项目</w:t>
      </w:r>
      <w:r>
        <w:rPr>
          <w:rFonts w:hint="eastAsia" w:ascii="Times New Roman" w:hAnsi="Times New Roman" w:eastAsia="仿宋_GB2312" w:cs="Times New Roman"/>
          <w:sz w:val="32"/>
          <w:szCs w:val="32"/>
          <w:lang w:val="en-US" w:eastAsia="zh-CN"/>
        </w:rPr>
        <w:t>，实施效果与预计效果相符。</w:t>
      </w:r>
    </w:p>
    <w:p w14:paraId="35FBEE68">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3"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评价选点</w:t>
      </w:r>
    </w:p>
    <w:p w14:paraId="4522359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Times New Roman" w:hAnsi="Times New Roman" w:eastAsia="仿宋_GB2312" w:cs="Times New Roman"/>
          <w:sz w:val="32"/>
          <w:szCs w:val="32"/>
          <w:lang w:val="zh-CN" w:eastAsia="zh-CN"/>
        </w:rPr>
        <w:t>项目绩效自评主要通过抽取</w:t>
      </w:r>
      <w:r>
        <w:rPr>
          <w:rFonts w:hint="eastAsia" w:ascii="Times New Roman" w:hAnsi="Times New Roman" w:eastAsia="仿宋_GB2312" w:cs="Times New Roman"/>
          <w:sz w:val="32"/>
          <w:szCs w:val="32"/>
          <w:lang w:val="en-US" w:eastAsia="zh-CN"/>
        </w:rPr>
        <w:t>2025年资金拨付凭证来进行自评工作，通过核查中心拨付凭证，确定了项目资金的确用于拨付重大传染病项目。</w:t>
      </w:r>
    </w:p>
    <w:p w14:paraId="003C44C6">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3"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评价方法</w:t>
      </w:r>
    </w:p>
    <w:p w14:paraId="4024A819">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由于该专项资金主要用于涉及民生保障，资金用途明确。我中心采用单位自评法、实地勘察法对项目进行自评工作。</w:t>
      </w:r>
    </w:p>
    <w:p w14:paraId="0EA57B9B">
      <w:pPr>
        <w:keepNext w:val="0"/>
        <w:keepLines w:val="0"/>
        <w:pageBreakBefore w:val="0"/>
        <w:widowControl w:val="0"/>
        <w:numPr>
          <w:ilvl w:val="0"/>
          <w:numId w:val="2"/>
        </w:numPr>
        <w:kinsoku/>
        <w:wordWrap/>
        <w:overflowPunct/>
        <w:topLinePunct w:val="0"/>
        <w:autoSpaceDE/>
        <w:autoSpaceDN/>
        <w:bidi w:val="0"/>
        <w:spacing w:line="560" w:lineRule="exact"/>
        <w:ind w:left="0" w:leftChars="0" w:firstLine="643"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评价组织</w:t>
      </w:r>
    </w:p>
    <w:p w14:paraId="1593FE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评价组人员构成如下：</w:t>
      </w:r>
    </w:p>
    <w:p w14:paraId="50001FF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组长：郭成慧  指导中心主任 负责全面评价工作</w:t>
      </w:r>
    </w:p>
    <w:p w14:paraId="0BB94B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成员：桑基忠  负责财务相关评价工作</w:t>
      </w:r>
    </w:p>
    <w:p w14:paraId="5F21451F">
      <w:pPr>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罗琼英 何仕有 若甲 唐志 余世美 负责2025年评价总体相关评价工作</w:t>
      </w:r>
    </w:p>
    <w:p w14:paraId="50CB880F">
      <w:pPr>
        <w:pageBreakBefore w:val="0"/>
        <w:widowControl w:val="0"/>
        <w:kinsoku/>
        <w:wordWrap/>
        <w:overflowPunct/>
        <w:topLinePunct w:val="0"/>
        <w:autoSpaceDE/>
        <w:autoSpaceDN/>
        <w:bidi w:val="0"/>
        <w:spacing w:line="560" w:lineRule="exact"/>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xml:space="preserve">          沈品初玛 冬梅  泽尼 负责2025年执行机构绩效评价工作 </w:t>
      </w:r>
    </w:p>
    <w:p w14:paraId="535076C6">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outlineLvl w:val="9"/>
        <w:rPr>
          <w:rFonts w:ascii="仿宋_GB2312" w:hAnsi="宋体" w:eastAsia="仿宋_GB2312" w:cs="Times New Roman"/>
          <w:color w:val="auto"/>
          <w:sz w:val="32"/>
          <w:szCs w:val="32"/>
          <w:highlight w:val="none"/>
          <w:u w:val="none"/>
          <w:lang w:val="zh-CN"/>
        </w:rPr>
      </w:pPr>
      <w:r>
        <w:rPr>
          <w:rFonts w:hint="eastAsia" w:ascii="黑体" w:hAnsi="宋体" w:eastAsia="黑体" w:cs="Times New Roman"/>
          <w:color w:val="auto"/>
          <w:sz w:val="32"/>
          <w:szCs w:val="32"/>
          <w:highlight w:val="none"/>
          <w:u w:val="none"/>
        </w:rPr>
        <w:t>三、</w:t>
      </w:r>
      <w:r>
        <w:rPr>
          <w:rFonts w:hint="eastAsia" w:ascii="黑体" w:hAnsi="宋体" w:eastAsia="黑体" w:cs="Times New Roman"/>
          <w:color w:val="auto"/>
          <w:sz w:val="32"/>
          <w:szCs w:val="32"/>
          <w:highlight w:val="none"/>
          <w:u w:val="none"/>
          <w:lang w:eastAsia="zh-CN"/>
        </w:rPr>
        <w:t>绩效分析</w:t>
      </w:r>
      <w:r>
        <w:rPr>
          <w:rFonts w:hint="eastAsia" w:ascii="仿宋_GB2312" w:hAnsi="宋体" w:eastAsia="仿宋_GB2312" w:cs="Times New Roman"/>
          <w:color w:val="auto"/>
          <w:sz w:val="32"/>
          <w:szCs w:val="32"/>
          <w:highlight w:val="none"/>
          <w:u w:val="none"/>
          <w:lang w:val="zh-CN"/>
        </w:rPr>
        <w:tab/>
      </w:r>
    </w:p>
    <w:p w14:paraId="39D7ABFB">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zh-CN" w:eastAsia="zh-CN"/>
        </w:rPr>
        <w:t>中心</w:t>
      </w:r>
      <w:r>
        <w:rPr>
          <w:rFonts w:hint="default" w:ascii="Times New Roman" w:hAnsi="Times New Roman" w:eastAsia="仿宋_GB2312" w:cs="Times New Roman"/>
          <w:sz w:val="32"/>
          <w:szCs w:val="32"/>
          <w:lang w:val="zh-CN" w:eastAsia="zh-CN"/>
        </w:rPr>
        <w:t>根据</w:t>
      </w:r>
      <w:r>
        <w:rPr>
          <w:rFonts w:hint="eastAsia" w:ascii="Times New Roman" w:hAnsi="Times New Roman" w:eastAsia="仿宋_GB2312" w:cs="Times New Roman"/>
          <w:sz w:val="32"/>
          <w:szCs w:val="32"/>
          <w:lang w:val="zh-CN" w:eastAsia="zh-CN"/>
        </w:rPr>
        <w:t>项目</w:t>
      </w:r>
      <w:r>
        <w:rPr>
          <w:rFonts w:hint="default" w:ascii="Times New Roman" w:hAnsi="Times New Roman" w:eastAsia="仿宋_GB2312" w:cs="Times New Roman"/>
          <w:sz w:val="32"/>
          <w:szCs w:val="32"/>
          <w:lang w:val="zh-CN" w:eastAsia="zh-CN"/>
        </w:rPr>
        <w:t>预算绩效评价指标体系“</w:t>
      </w:r>
      <w:r>
        <w:rPr>
          <w:rFonts w:hint="eastAsia" w:ascii="Times New Roman" w:hAnsi="Times New Roman" w:eastAsia="仿宋_GB2312" w:cs="Times New Roman"/>
          <w:sz w:val="32"/>
          <w:szCs w:val="32"/>
          <w:lang w:val="zh-CN" w:eastAsia="zh-CN"/>
        </w:rPr>
        <w:t>通用指标</w:t>
      </w:r>
      <w:r>
        <w:rPr>
          <w:rFonts w:hint="default"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zh-CN" w:eastAsia="zh-CN"/>
        </w:rPr>
        <w:t>“专用指标”“个性指标”三个方面对该项资金进行了全方位自评工作，具体情况如下：</w:t>
      </w:r>
    </w:p>
    <w:p w14:paraId="0F4241F6">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45.07分</w:t>
      </w:r>
      <w:r>
        <w:rPr>
          <w:rFonts w:hint="eastAsia" w:ascii="Times New Roman" w:hAnsi="Times New Roman" w:eastAsia="楷体_GB2312" w:cs="Times New Roman"/>
          <w:b/>
          <w:bCs/>
          <w:color w:val="000000"/>
          <w:kern w:val="0"/>
          <w:sz w:val="32"/>
          <w:szCs w:val="32"/>
          <w:highlight w:val="none"/>
          <w:shd w:val="clear" w:color="auto" w:fill="FFFFFF"/>
          <w:lang w:val="zh-CN"/>
        </w:rPr>
        <w:t>）</w:t>
      </w:r>
    </w:p>
    <w:p w14:paraId="0BAD8473">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default"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1.</w:t>
      </w:r>
      <w:r>
        <w:rPr>
          <w:rFonts w:hint="eastAsia" w:ascii="楷体_GB2312" w:hAnsi="楷体_GB2312" w:eastAsia="楷体_GB2312" w:cs="楷体_GB2312"/>
          <w:color w:val="auto"/>
          <w:sz w:val="32"/>
          <w:szCs w:val="32"/>
          <w:lang w:eastAsia="zh-CN"/>
        </w:rPr>
        <w:t>项目决策</w:t>
      </w:r>
      <w:r>
        <w:rPr>
          <w:rFonts w:hint="eastAsia" w:ascii="楷体_GB2312" w:hAnsi="楷体_GB2312" w:eastAsia="楷体_GB2312" w:cs="楷体_GB2312"/>
          <w:color w:val="auto"/>
          <w:sz w:val="32"/>
          <w:szCs w:val="32"/>
          <w:lang w:val="en-US" w:eastAsia="zh-CN"/>
        </w:rPr>
        <w:t>(18分）</w:t>
      </w:r>
    </w:p>
    <w:p w14:paraId="18EC11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Calibri"/>
          <w:sz w:val="32"/>
          <w:szCs w:val="32"/>
          <w:lang w:val="en-US" w:eastAsia="zh-CN"/>
        </w:rPr>
      </w:pPr>
      <w:r>
        <w:rPr>
          <w:rFonts w:hint="eastAsia" w:ascii="Times New Roman" w:hAnsi="Times New Roman" w:eastAsia="仿宋_GB2312" w:cs="Times New Roman"/>
          <w:color w:val="auto"/>
          <w:sz w:val="32"/>
          <w:szCs w:val="32"/>
          <w:lang w:eastAsia="zh-CN"/>
        </w:rPr>
        <w:t>决策程序（</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：项目设立、调整延续等方面符合资金管理基本规范和决策程序要求。项目设立依据</w:t>
      </w:r>
      <w:r>
        <w:rPr>
          <w:rFonts w:hint="eastAsia" w:ascii="Times New Roman" w:hAnsi="Times New Roman" w:eastAsia="仿宋_GB2312" w:cs="Calibri"/>
          <w:sz w:val="32"/>
          <w:szCs w:val="32"/>
          <w:lang w:val="en-US" w:eastAsia="zh-CN"/>
        </w:rPr>
        <w:t>阿州卫健发（2025)12号、13号、阿州卫健发（2025）15号、阿州卫健发（2025）14号《关于印发阿坝州2025年中央财政补助艾滋病等重大传染病、寄生虫病和地方病防治项目第一批资金实施方案的通知》。</w:t>
      </w:r>
    </w:p>
    <w:p w14:paraId="6E3BEA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规划论证（</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：项目规划充分评估了论证项目立项必要性、前瞻性、合理性和可行性；项目总体绩效目标设置合理性的偏离度≤</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lang w:eastAsia="zh-CN"/>
        </w:rPr>
        <w:t>%；绩效目标科学合理、规范完整、量化细化、预算匹配。</w:t>
      </w:r>
    </w:p>
    <w:p w14:paraId="4E6656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资金投向（</w:t>
      </w:r>
      <w:r>
        <w:rPr>
          <w:rFonts w:hint="eastAsia" w:ascii="Times New Roman" w:hAnsi="Times New Roman" w:eastAsia="仿宋_GB2312" w:cs="Times New Roman"/>
          <w:color w:val="auto"/>
          <w:sz w:val="32"/>
          <w:szCs w:val="32"/>
          <w:lang w:val="en-US" w:eastAsia="zh-CN"/>
        </w:rPr>
        <w:t>6分）：该项目</w:t>
      </w:r>
      <w:r>
        <w:rPr>
          <w:rFonts w:hint="eastAsia" w:ascii="Times New Roman" w:hAnsi="Times New Roman" w:eastAsia="仿宋_GB2312" w:cs="Times New Roman"/>
          <w:color w:val="auto"/>
          <w:sz w:val="32"/>
          <w:szCs w:val="32"/>
          <w:lang w:eastAsia="zh-CN"/>
        </w:rPr>
        <w:t>属于政府支持范围，且符合财政事权支出责任划分规定；资金投向与项目总体规划、相关行业事业发展相匹配；聚焦重大任务、重点领域、重点环节和重点项目，体现“集中财力办大事”原则；未与其他同类项目或部门内部相关项目交叉重复。</w:t>
      </w:r>
    </w:p>
    <w:p w14:paraId="5CE04E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2.</w:t>
      </w:r>
      <w:r>
        <w:rPr>
          <w:rFonts w:hint="eastAsia" w:ascii="楷体_GB2312" w:hAnsi="楷体_GB2312" w:eastAsia="楷体_GB2312" w:cs="楷体_GB2312"/>
          <w:color w:val="auto"/>
          <w:sz w:val="32"/>
          <w:szCs w:val="32"/>
          <w:lang w:eastAsia="zh-CN"/>
        </w:rPr>
        <w:t>项目管理</w:t>
      </w:r>
      <w:r>
        <w:rPr>
          <w:rFonts w:hint="eastAsia" w:ascii="楷体_GB2312" w:hAnsi="楷体_GB2312" w:eastAsia="楷体_GB2312" w:cs="楷体_GB2312"/>
          <w:color w:val="auto"/>
          <w:sz w:val="32"/>
          <w:szCs w:val="32"/>
          <w:lang w:val="en-US" w:eastAsia="zh-CN"/>
        </w:rPr>
        <w:t xml:space="preserve"> （12分）</w:t>
      </w:r>
    </w:p>
    <w:p w14:paraId="719AB3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制度办法（</w:t>
      </w:r>
      <w:r>
        <w:rPr>
          <w:rFonts w:hint="eastAsia" w:ascii="Times New Roman" w:hAnsi="Times New Roman" w:eastAsia="仿宋_GB2312" w:cs="Times New Roman"/>
          <w:color w:val="auto"/>
          <w:sz w:val="32"/>
          <w:szCs w:val="32"/>
          <w:lang w:val="en-US" w:eastAsia="zh-CN"/>
        </w:rPr>
        <w:t>1分</w:t>
      </w:r>
      <w:r>
        <w:rPr>
          <w:rFonts w:hint="eastAsia" w:ascii="Times New Roman" w:hAnsi="Times New Roman" w:eastAsia="仿宋_GB2312" w:cs="Times New Roman"/>
          <w:color w:val="auto"/>
          <w:sz w:val="32"/>
          <w:szCs w:val="32"/>
          <w:lang w:eastAsia="zh-CN"/>
        </w:rPr>
        <w:t>）：单位制定了项目资金使用计划，但资金管理办法等管理制度体系仍需进一步完善。</w:t>
      </w:r>
    </w:p>
    <w:p w14:paraId="076A8E5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分配管理（</w:t>
      </w:r>
      <w:r>
        <w:rPr>
          <w:rFonts w:hint="eastAsia" w:ascii="Times New Roman" w:hAnsi="Times New Roman" w:eastAsia="仿宋_GB2312" w:cs="Times New Roman"/>
          <w:color w:val="auto"/>
          <w:sz w:val="32"/>
          <w:szCs w:val="32"/>
          <w:lang w:val="en-US" w:eastAsia="zh-CN"/>
        </w:rPr>
        <w:t>5分</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lang w:eastAsia="zh-CN"/>
        </w:rPr>
        <w:t>）因素分配法：资金分配因素选取充分考虑相关行业事业发展实际和发展需求；资金分配依据项目资金明细表，项目实施重点不太突出；资金区域分布结果公平合理。（</w:t>
      </w:r>
      <w:r>
        <w:rPr>
          <w:rFonts w:hint="eastAsia"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lang w:eastAsia="zh-CN"/>
        </w:rPr>
        <w:t>）项目分配法：预算管理一体化有项目库；实行入库项目动态管理，按月、按季度开展动态监控；明确项目申报审核程序，按规定程序履行项目审批，项目申报符合要求。（</w:t>
      </w:r>
      <w:r>
        <w:rPr>
          <w:rFonts w:hint="eastAsia"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color w:val="auto"/>
          <w:sz w:val="32"/>
          <w:szCs w:val="32"/>
          <w:lang w:eastAsia="zh-CN"/>
        </w:rPr>
        <w:t>）其他分配法：资金分配依据充分合理。资金分配严格按管理办法执行，决策程序符合管理要求，及时高效。</w:t>
      </w:r>
    </w:p>
    <w:p w14:paraId="637525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绩效监管（</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）：项目按省、州要求全面完成绩效目标（含事前评估）、绩效评价、以前年度问题整改等预算绩效管理工作；省级部门对市县主管部门预算绩效管理要求到位，州、县资金分配和项目管理指导力度充足。</w:t>
      </w:r>
    </w:p>
    <w:p w14:paraId="03DB5E8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3.项目实施（8.27分）</w:t>
      </w:r>
    </w:p>
    <w:p w14:paraId="472FF59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预算</w:t>
      </w:r>
      <w:r>
        <w:rPr>
          <w:rFonts w:hint="eastAsia" w:ascii="Times New Roman" w:hAnsi="Times New Roman" w:eastAsia="仿宋_GB2312" w:cs="Times New Roman"/>
          <w:color w:val="auto"/>
          <w:sz w:val="32"/>
          <w:szCs w:val="32"/>
          <w:lang w:val="zh-CN" w:eastAsia="zh-CN"/>
        </w:rPr>
        <w:t>执行（</w:t>
      </w:r>
      <w:r>
        <w:rPr>
          <w:rFonts w:hint="eastAsia" w:ascii="Times New Roman" w:hAnsi="Times New Roman" w:eastAsia="仿宋_GB2312" w:cs="Times New Roman"/>
          <w:color w:val="auto"/>
          <w:sz w:val="32"/>
          <w:szCs w:val="32"/>
          <w:lang w:val="en-US" w:eastAsia="zh-CN"/>
        </w:rPr>
        <w:t>5.27分</w:t>
      </w:r>
      <w:r>
        <w:rPr>
          <w:rFonts w:hint="eastAsia" w:ascii="Times New Roman" w:hAnsi="Times New Roman" w:eastAsia="仿宋_GB2312" w:cs="Times New Roman"/>
          <w:color w:val="auto"/>
          <w:sz w:val="32"/>
          <w:szCs w:val="32"/>
          <w:lang w:val="zh-CN" w:eastAsia="zh-CN"/>
        </w:rPr>
        <w:t>）：该项指标得分=</w:t>
      </w:r>
      <w:r>
        <w:rPr>
          <w:rFonts w:hint="default" w:ascii="Times New Roman" w:hAnsi="Times New Roman" w:eastAsia="仿宋_GB2312" w:cs="Times New Roman"/>
          <w:color w:val="auto"/>
          <w:sz w:val="32"/>
          <w:szCs w:val="32"/>
          <w:lang w:val="en-US" w:eastAsia="zh-CN"/>
        </w:rPr>
        <w:t>财政资金拨付率×100%×2+</w:t>
      </w:r>
      <w:r>
        <w:rPr>
          <w:rFonts w:hint="eastAsia" w:ascii="Times New Roman" w:hAnsi="Times New Roman" w:eastAsia="仿宋_GB2312" w:cs="Times New Roman"/>
          <w:color w:val="auto"/>
          <w:sz w:val="32"/>
          <w:szCs w:val="32"/>
          <w:lang w:val="en-US" w:eastAsia="zh-CN"/>
        </w:rPr>
        <w:t>单位资金使用</w:t>
      </w:r>
      <w:r>
        <w:rPr>
          <w:rFonts w:hint="default" w:ascii="Times New Roman" w:hAnsi="Times New Roman" w:eastAsia="仿宋_GB2312" w:cs="Times New Roman"/>
          <w:color w:val="auto"/>
          <w:sz w:val="32"/>
          <w:szCs w:val="32"/>
          <w:lang w:val="en-US" w:eastAsia="zh-CN"/>
        </w:rPr>
        <w:t>率×100%×2+地方资金到位率×100%×2</w:t>
      </w:r>
      <w:r>
        <w:rPr>
          <w:rFonts w:hint="eastAsia" w:ascii="Times New Roman" w:hAnsi="Times New Roman" w:eastAsia="仿宋_GB2312" w:cs="Times New Roman"/>
          <w:color w:val="auto"/>
          <w:sz w:val="32"/>
          <w:szCs w:val="32"/>
          <w:lang w:val="en-US" w:eastAsia="zh-CN"/>
        </w:rPr>
        <w:t>=100%</w:t>
      </w:r>
      <w:r>
        <w:rPr>
          <w:rFonts w:hint="eastAsia" w:ascii="Times New Roman" w:hAnsi="Times New Roman" w:eastAsia="仿宋_GB2312" w:cs="Times New Roman"/>
          <w:color w:val="auto"/>
          <w:sz w:val="32"/>
          <w:szCs w:val="32"/>
          <w:lang w:val="zh-CN" w:eastAsia="zh-CN"/>
        </w:rPr>
        <w:t>×100%×2+</w:t>
      </w:r>
      <w:r>
        <w:rPr>
          <w:rFonts w:hint="eastAsia" w:ascii="Times New Roman" w:hAnsi="Times New Roman" w:eastAsia="仿宋_GB2312" w:cs="Times New Roman"/>
          <w:color w:val="auto"/>
          <w:sz w:val="32"/>
          <w:szCs w:val="32"/>
          <w:lang w:val="en-US" w:eastAsia="zh-CN"/>
        </w:rPr>
        <w:t>63.39%</w:t>
      </w:r>
      <w:r>
        <w:rPr>
          <w:rFonts w:hint="eastAsia" w:ascii="Times New Roman" w:hAnsi="Times New Roman" w:eastAsia="仿宋_GB2312" w:cs="Times New Roman"/>
          <w:color w:val="auto"/>
          <w:sz w:val="32"/>
          <w:szCs w:val="32"/>
          <w:lang w:val="zh-CN" w:eastAsia="zh-CN"/>
        </w:rPr>
        <w:t>×</w:t>
      </w:r>
      <w:r>
        <w:rPr>
          <w:rFonts w:hint="eastAsia" w:ascii="Times New Roman" w:hAnsi="Times New Roman" w:eastAsia="仿宋_GB2312" w:cs="Times New Roman"/>
          <w:color w:val="auto"/>
          <w:sz w:val="32"/>
          <w:szCs w:val="32"/>
          <w:lang w:val="en-US" w:eastAsia="zh-CN"/>
        </w:rPr>
        <w:t>100</w:t>
      </w:r>
      <w:r>
        <w:rPr>
          <w:rFonts w:hint="eastAsia" w:ascii="Times New Roman" w:hAnsi="Times New Roman" w:eastAsia="仿宋_GB2312" w:cs="Times New Roman"/>
          <w:color w:val="auto"/>
          <w:sz w:val="32"/>
          <w:szCs w:val="32"/>
          <w:lang w:val="zh-CN" w:eastAsia="zh-CN"/>
        </w:rPr>
        <w:t>%×2+</w:t>
      </w:r>
      <w:r>
        <w:rPr>
          <w:rFonts w:hint="eastAsia" w:ascii="Times New Roman" w:hAnsi="Times New Roman" w:eastAsia="仿宋_GB2312" w:cs="Times New Roman"/>
          <w:color w:val="auto"/>
          <w:sz w:val="32"/>
          <w:szCs w:val="32"/>
          <w:lang w:val="en-US" w:eastAsia="zh-CN"/>
        </w:rPr>
        <w:t>100%</w:t>
      </w:r>
      <w:r>
        <w:rPr>
          <w:rFonts w:hint="eastAsia" w:ascii="Times New Roman" w:hAnsi="Times New Roman" w:eastAsia="仿宋_GB2312" w:cs="Times New Roman"/>
          <w:color w:val="auto"/>
          <w:sz w:val="32"/>
          <w:szCs w:val="32"/>
          <w:lang w:val="zh-CN" w:eastAsia="zh-CN"/>
        </w:rPr>
        <w:t>×100%×2</w:t>
      </w:r>
      <w:r>
        <w:rPr>
          <w:rFonts w:hint="eastAsia" w:ascii="Times New Roman" w:hAnsi="Times New Roman" w:eastAsia="仿宋_GB2312" w:cs="Times New Roman"/>
          <w:color w:val="auto"/>
          <w:sz w:val="32"/>
          <w:szCs w:val="32"/>
          <w:lang w:val="en-US" w:eastAsia="zh-CN"/>
        </w:rPr>
        <w:t>=5.27分。</w:t>
      </w:r>
    </w:p>
    <w:p w14:paraId="02BF280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资金使用（</w:t>
      </w:r>
      <w:r>
        <w:rPr>
          <w:rFonts w:hint="eastAsia" w:ascii="Times New Roman" w:hAnsi="Times New Roman" w:eastAsia="仿宋_GB2312" w:cs="Times New Roman"/>
          <w:color w:val="auto"/>
          <w:sz w:val="32"/>
          <w:szCs w:val="32"/>
          <w:lang w:val="en-US" w:eastAsia="zh-CN"/>
        </w:rPr>
        <w:t>3分</w:t>
      </w:r>
      <w:r>
        <w:rPr>
          <w:rFonts w:hint="eastAsia" w:ascii="Times New Roman" w:hAnsi="Times New Roman" w:eastAsia="仿宋_GB2312" w:cs="Times New Roman"/>
          <w:color w:val="auto"/>
          <w:sz w:val="32"/>
          <w:szCs w:val="32"/>
          <w:lang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p>
    <w:p w14:paraId="5948BA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4.项目结果 （6.80分）</w:t>
      </w:r>
    </w:p>
    <w:p w14:paraId="4792A0D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FF0000"/>
          <w:sz w:val="32"/>
          <w:szCs w:val="32"/>
          <w:lang w:val="en-US" w:eastAsia="zh-CN"/>
        </w:rPr>
      </w:pPr>
      <w:r>
        <w:rPr>
          <w:rFonts w:hint="eastAsia" w:ascii="Times New Roman" w:hAnsi="Times New Roman" w:eastAsia="仿宋_GB2312" w:cs="Times New Roman"/>
          <w:color w:val="auto"/>
          <w:sz w:val="32"/>
          <w:szCs w:val="32"/>
          <w:lang w:val="en-US" w:eastAsia="zh-CN"/>
        </w:rPr>
        <w:t>目标完成（3.80分）：该项指标得分=实际完成目标任务量÷首次批复立项设定绩效目标任务总量×100%×6=198.35÷312.92×100%×6=3.80分。（下达资金312.92万元，列支198.35万元）</w:t>
      </w:r>
    </w:p>
    <w:p w14:paraId="6ADB09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完成时效（</w:t>
      </w:r>
      <w:r>
        <w:rPr>
          <w:rFonts w:hint="eastAsia" w:ascii="Times New Roman" w:hAnsi="Times New Roman" w:eastAsia="仿宋_GB2312" w:cs="Times New Roman"/>
          <w:color w:val="auto"/>
          <w:sz w:val="32"/>
          <w:szCs w:val="32"/>
          <w:lang w:val="en-US" w:eastAsia="zh-CN"/>
        </w:rPr>
        <w:t>3分</w:t>
      </w:r>
      <w:r>
        <w:rPr>
          <w:rFonts w:hint="eastAsia" w:ascii="Times New Roman" w:hAnsi="Times New Roman" w:eastAsia="仿宋_GB2312" w:cs="Times New Roman"/>
          <w:color w:val="auto"/>
          <w:sz w:val="32"/>
          <w:szCs w:val="32"/>
          <w:lang w:eastAsia="zh-CN"/>
        </w:rPr>
        <w:t>）：该项指标得分=（1-(</w:t>
      </w:r>
      <w:r>
        <w:rPr>
          <w:rFonts w:hint="eastAsia" w:ascii="Times New Roman" w:hAnsi="Times New Roman" w:eastAsia="仿宋_GB2312" w:cs="Times New Roman"/>
          <w:color w:val="auto"/>
          <w:sz w:val="32"/>
          <w:szCs w:val="32"/>
          <w:lang w:val="en-US" w:eastAsia="zh-CN"/>
        </w:rPr>
        <w:t>12</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12</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12</w:t>
      </w:r>
      <w:r>
        <w:rPr>
          <w:rFonts w:hint="eastAsia" w:ascii="Times New Roman" w:hAnsi="Times New Roman" w:eastAsia="仿宋_GB2312" w:cs="Times New Roman"/>
          <w:color w:val="auto"/>
          <w:sz w:val="32"/>
          <w:szCs w:val="32"/>
          <w:lang w:eastAsia="zh-CN"/>
        </w:rPr>
        <w:t>）×100%×3</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lang w:eastAsia="zh-CN"/>
        </w:rPr>
        <w:t>指标以月数为单位。实际完成时间-计划完成时间等于0，得</w:t>
      </w:r>
      <w:r>
        <w:rPr>
          <w:rFonts w:hint="eastAsia" w:ascii="Times New Roman" w:hAnsi="Times New Roman" w:eastAsia="仿宋_GB2312" w:cs="Times New Roman"/>
          <w:color w:val="auto"/>
          <w:sz w:val="32"/>
          <w:szCs w:val="32"/>
          <w:lang w:val="en-US" w:eastAsia="zh-CN"/>
        </w:rPr>
        <w:t>3分。</w:t>
      </w:r>
    </w:p>
    <w:p w14:paraId="5321CA9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auto"/>
          <w:kern w:val="0"/>
          <w:sz w:val="32"/>
          <w:szCs w:val="32"/>
          <w:highlight w:val="none"/>
          <w:shd w:val="clear" w:color="auto" w:fill="FFFFFF"/>
          <w:lang w:val="zh-CN"/>
        </w:rPr>
        <w:t>绩效分析</w:t>
      </w:r>
      <w:r>
        <w:rPr>
          <w:rFonts w:hint="eastAsia" w:ascii="Times New Roman" w:hAnsi="Times New Roman" w:eastAsia="楷体_GB2312" w:cs="Times New Roman"/>
          <w:b/>
          <w:bCs/>
          <w:color w:val="auto"/>
          <w:kern w:val="0"/>
          <w:sz w:val="32"/>
          <w:szCs w:val="32"/>
          <w:highlight w:val="none"/>
          <w:shd w:val="clear" w:color="auto" w:fill="FFFFFF"/>
          <w:lang w:val="zh-CN"/>
        </w:rPr>
        <w:t>（</w:t>
      </w:r>
      <w:r>
        <w:rPr>
          <w:rFonts w:hint="eastAsia" w:ascii="Times New Roman" w:hAnsi="Times New Roman" w:eastAsia="楷体_GB2312" w:cs="Times New Roman"/>
          <w:b/>
          <w:bCs/>
          <w:color w:val="auto"/>
          <w:kern w:val="0"/>
          <w:sz w:val="32"/>
          <w:szCs w:val="32"/>
          <w:highlight w:val="none"/>
          <w:shd w:val="clear" w:color="auto" w:fill="FFFFFF"/>
          <w:lang w:val="en-US" w:eastAsia="zh-CN"/>
        </w:rPr>
        <w:t>24.75分</w:t>
      </w:r>
      <w:r>
        <w:rPr>
          <w:rFonts w:hint="eastAsia" w:ascii="Times New Roman" w:hAnsi="Times New Roman" w:eastAsia="楷体_GB2312" w:cs="Times New Roman"/>
          <w:b/>
          <w:bCs/>
          <w:color w:val="auto"/>
          <w:kern w:val="0"/>
          <w:sz w:val="32"/>
          <w:szCs w:val="32"/>
          <w:highlight w:val="none"/>
          <w:shd w:val="clear" w:color="auto" w:fill="FFFFFF"/>
          <w:lang w:val="zh-CN"/>
        </w:rPr>
        <w:t>）</w:t>
      </w:r>
    </w:p>
    <w:p w14:paraId="346009E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楷体_GB2312" w:eastAsia="楷体_GB2312" w:cs="楷体_GB2312"/>
          <w:color w:val="auto"/>
          <w:sz w:val="32"/>
          <w:szCs w:val="32"/>
          <w:lang w:val="zh-CN" w:eastAsia="zh-CN"/>
        </w:rPr>
        <w:t>民生保障：该项目主要涉及民生保障。</w:t>
      </w:r>
    </w:p>
    <w:p w14:paraId="6F4CB14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区域均衡性（</w:t>
      </w:r>
      <w:r>
        <w:rPr>
          <w:rFonts w:hint="eastAsia" w:ascii="Times New Roman" w:hAnsi="Times New Roman" w:eastAsia="仿宋_GB2312" w:cs="Times New Roman"/>
          <w:color w:val="auto"/>
          <w:sz w:val="32"/>
          <w:szCs w:val="32"/>
          <w:lang w:val="en-US" w:eastAsia="zh-CN"/>
        </w:rPr>
        <w:t>5分</w:t>
      </w:r>
      <w:r>
        <w:rPr>
          <w:rFonts w:hint="eastAsia" w:ascii="Times New Roman" w:hAnsi="Times New Roman" w:eastAsia="仿宋_GB2312" w:cs="Times New Roman"/>
          <w:color w:val="auto"/>
          <w:sz w:val="32"/>
          <w:szCs w:val="32"/>
          <w:lang w:eastAsia="zh-CN"/>
        </w:rPr>
        <w:t>）：该项目实施使本县重大传染病防治能力得到了改善，但区域均衡情况未发生明显变化。</w:t>
      </w:r>
    </w:p>
    <w:p w14:paraId="21D33D2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对象精准性（</w:t>
      </w:r>
      <w:r>
        <w:rPr>
          <w:rFonts w:hint="eastAsia" w:ascii="Times New Roman" w:hAnsi="Times New Roman" w:eastAsia="仿宋_GB2312" w:cs="Times New Roman"/>
          <w:color w:val="auto"/>
          <w:sz w:val="32"/>
          <w:szCs w:val="32"/>
          <w:lang w:val="en-US" w:eastAsia="zh-CN"/>
        </w:rPr>
        <w:t>10分</w:t>
      </w:r>
      <w:r>
        <w:rPr>
          <w:rFonts w:hint="eastAsia" w:ascii="Times New Roman" w:hAnsi="Times New Roman" w:eastAsia="仿宋_GB2312" w:cs="Times New Roman"/>
          <w:color w:val="auto"/>
          <w:sz w:val="32"/>
          <w:szCs w:val="32"/>
          <w:lang w:eastAsia="zh-CN"/>
        </w:rPr>
        <w:t>）：该项指标得分=（</w:t>
      </w:r>
      <w:r>
        <w:rPr>
          <w:rFonts w:hint="eastAsia" w:ascii="Times New Roman" w:hAnsi="Times New Roman" w:eastAsia="仿宋_GB2312" w:cs="Times New Roman"/>
          <w:color w:val="auto"/>
          <w:sz w:val="32"/>
          <w:szCs w:val="32"/>
          <w:lang w:val="en-US" w:eastAsia="zh-CN"/>
        </w:rPr>
        <w:t>21264</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17800</w:t>
      </w:r>
      <w:r>
        <w:rPr>
          <w:rFonts w:hint="eastAsia" w:ascii="Times New Roman" w:hAnsi="Times New Roman" w:eastAsia="仿宋_GB2312" w:cs="Times New Roman"/>
          <w:color w:val="auto"/>
          <w:sz w:val="32"/>
          <w:szCs w:val="32"/>
          <w:lang w:eastAsia="zh-CN"/>
        </w:rPr>
        <w:t>×100%×10</w:t>
      </w:r>
      <w:r>
        <w:rPr>
          <w:rFonts w:hint="eastAsia" w:ascii="Times New Roman" w:hAnsi="Times New Roman" w:eastAsia="仿宋_GB2312" w:cs="Times New Roman"/>
          <w:color w:val="auto"/>
          <w:sz w:val="32"/>
          <w:szCs w:val="32"/>
          <w:lang w:val="en-US" w:eastAsia="zh-CN"/>
        </w:rPr>
        <w:t>=10分。抽样的支持对象总人数21264人，不符合支持对象人数0人，抽样的支持对象总人数21264人。（选取艾滋病重点人群扩大检测人次数作为自评依据）</w:t>
      </w:r>
    </w:p>
    <w:p w14:paraId="52C409B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Times New Roman" w:hAnsi="Times New Roman" w:eastAsia="仿宋_GB2312" w:cs="Times New Roman"/>
          <w:color w:val="auto"/>
          <w:sz w:val="32"/>
          <w:szCs w:val="32"/>
          <w:highlight w:val="red"/>
          <w:lang w:val="en-US" w:eastAsia="zh-CN"/>
        </w:rPr>
      </w:pPr>
      <w:r>
        <w:rPr>
          <w:rFonts w:hint="eastAsia" w:ascii="Times New Roman" w:hAnsi="Times New Roman" w:eastAsia="仿宋_GB2312" w:cs="Times New Roman"/>
          <w:color w:val="auto"/>
          <w:sz w:val="32"/>
          <w:szCs w:val="32"/>
          <w:lang w:eastAsia="zh-CN"/>
        </w:rPr>
        <w:t>标准合理性（</w:t>
      </w:r>
      <w:r>
        <w:rPr>
          <w:rFonts w:hint="eastAsia" w:ascii="Times New Roman" w:hAnsi="Times New Roman" w:eastAsia="仿宋_GB2312" w:cs="Times New Roman"/>
          <w:color w:val="auto"/>
          <w:sz w:val="32"/>
          <w:szCs w:val="32"/>
          <w:lang w:val="en-US" w:eastAsia="zh-CN"/>
        </w:rPr>
        <w:t>5分</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该项指标得分=（21264-0）÷17800×100%×5=5分。（选取艾滋病重点人群扩大检测人次数作为自评依据）</w:t>
      </w:r>
    </w:p>
    <w:p w14:paraId="0D52C87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群众满意度（</w:t>
      </w:r>
      <w:r>
        <w:rPr>
          <w:rFonts w:hint="eastAsia" w:ascii="Times New Roman" w:hAnsi="Times New Roman" w:eastAsia="仿宋_GB2312" w:cs="Times New Roman"/>
          <w:color w:val="auto"/>
          <w:sz w:val="32"/>
          <w:szCs w:val="32"/>
          <w:lang w:val="en-US" w:eastAsia="zh-CN"/>
        </w:rPr>
        <w:t>4.75分</w:t>
      </w:r>
      <w:r>
        <w:rPr>
          <w:rFonts w:hint="eastAsia" w:ascii="Times New Roman" w:hAnsi="Times New Roman" w:eastAsia="仿宋_GB2312" w:cs="Times New Roman"/>
          <w:color w:val="auto"/>
          <w:sz w:val="32"/>
          <w:szCs w:val="32"/>
          <w:lang w:eastAsia="zh-CN"/>
        </w:rPr>
        <w:t>）：该项指标得</w:t>
      </w:r>
      <w:r>
        <w:rPr>
          <w:rFonts w:hint="eastAsia" w:ascii="Times New Roman" w:hAnsi="Times New Roman" w:eastAsia="仿宋_GB2312" w:cs="Times New Roman"/>
          <w:color w:val="auto"/>
          <w:sz w:val="32"/>
          <w:szCs w:val="32"/>
          <w:lang w:val="en-US" w:eastAsia="zh-CN"/>
        </w:rPr>
        <w:t>分=0.95×90%×5=4.75分。</w:t>
      </w:r>
    </w:p>
    <w:p w14:paraId="37DA600E">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textAlignment w:val="auto"/>
        <w:outlineLvl w:val="9"/>
        <w:rPr>
          <w:rFonts w:hint="default" w:ascii="Times New Roman" w:hAnsi="Times New Roman" w:eastAsia="仿宋_GB2312" w:cs="Times New Roman"/>
          <w:color w:val="auto"/>
          <w:sz w:val="32"/>
          <w:szCs w:val="32"/>
          <w:lang w:val="en-US" w:eastAsia="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auto"/>
          <w:kern w:val="0"/>
          <w:sz w:val="32"/>
          <w:szCs w:val="32"/>
          <w:highlight w:val="none"/>
          <w:shd w:val="clear" w:color="auto" w:fill="FFFFFF"/>
          <w:lang w:val="zh-CN"/>
        </w:rPr>
        <w:t>绩效分析</w:t>
      </w:r>
      <w:r>
        <w:rPr>
          <w:rFonts w:hint="eastAsia" w:ascii="Times New Roman" w:hAnsi="Times New Roman" w:eastAsia="楷体_GB2312" w:cs="Times New Roman"/>
          <w:b/>
          <w:bCs/>
          <w:color w:val="auto"/>
          <w:kern w:val="0"/>
          <w:sz w:val="32"/>
          <w:szCs w:val="32"/>
          <w:highlight w:val="none"/>
          <w:shd w:val="clear" w:color="auto" w:fill="FFFFFF"/>
          <w:lang w:val="zh-CN"/>
        </w:rPr>
        <w:t>（</w:t>
      </w:r>
      <w:r>
        <w:rPr>
          <w:rFonts w:hint="eastAsia" w:ascii="Times New Roman" w:hAnsi="Times New Roman" w:eastAsia="楷体_GB2312" w:cs="Times New Roman"/>
          <w:b/>
          <w:bCs/>
          <w:color w:val="auto"/>
          <w:kern w:val="0"/>
          <w:sz w:val="32"/>
          <w:szCs w:val="32"/>
          <w:highlight w:val="none"/>
          <w:shd w:val="clear" w:color="auto" w:fill="FFFFFF"/>
          <w:lang w:val="en-US" w:eastAsia="zh-CN"/>
        </w:rPr>
        <w:t>16分</w:t>
      </w:r>
      <w:r>
        <w:rPr>
          <w:rFonts w:hint="eastAsia" w:ascii="Times New Roman" w:hAnsi="Times New Roman" w:eastAsia="楷体_GB2312" w:cs="Times New Roman"/>
          <w:b/>
          <w:bCs/>
          <w:color w:val="auto"/>
          <w:kern w:val="0"/>
          <w:sz w:val="32"/>
          <w:szCs w:val="32"/>
          <w:highlight w:val="none"/>
          <w:shd w:val="clear" w:color="auto" w:fill="FFFFFF"/>
          <w:lang w:val="zh-CN"/>
        </w:rPr>
        <w:t>）</w:t>
      </w:r>
    </w:p>
    <w:p w14:paraId="3733BB24">
      <w:pPr>
        <w:pageBreakBefore w:val="0"/>
        <w:widowControl/>
        <w:tabs>
          <w:tab w:val="left" w:pos="2160"/>
        </w:tabs>
        <w:kinsoku/>
        <w:wordWrap/>
        <w:overflowPunct/>
        <w:topLinePunct w:val="0"/>
        <w:autoSpaceDE/>
        <w:autoSpaceDN/>
        <w:bidi w:val="0"/>
        <w:spacing w:line="560" w:lineRule="exact"/>
        <w:ind w:firstLine="643" w:firstLineChars="200"/>
        <w:jc w:val="left"/>
        <w:textAlignment w:val="auto"/>
        <w:rPr>
          <w:rFonts w:hint="eastAsia" w:ascii="仿宋_GB2312" w:hAnsi="仿宋_GB2312" w:eastAsia="仿宋_GB2312" w:cs="仿宋_GB2312"/>
          <w:color w:val="auto"/>
          <w:kern w:val="0"/>
          <w:position w:val="3"/>
          <w:sz w:val="32"/>
          <w:szCs w:val="32"/>
          <w:lang w:val="en-US" w:eastAsia="zh-CN" w:bidi="ar-SA"/>
        </w:rPr>
      </w:pPr>
      <w:r>
        <w:rPr>
          <w:rFonts w:hint="eastAsia" w:ascii="仿宋_GB2312" w:hAnsi="仿宋_GB2312" w:eastAsia="仿宋_GB2312" w:cs="仿宋_GB2312"/>
          <w:b/>
          <w:bCs/>
          <w:color w:val="auto"/>
          <w:kern w:val="2"/>
          <w:position w:val="3"/>
          <w:sz w:val="32"/>
          <w:szCs w:val="32"/>
          <w:lang w:val="en-US" w:eastAsia="zh-CN" w:bidi="ar-SA"/>
        </w:rPr>
        <w:t>数量指标（16分）</w:t>
      </w:r>
    </w:p>
    <w:p w14:paraId="39CB45FF">
      <w:pPr>
        <w:pageBreakBefore w:val="0"/>
        <w:widowControl/>
        <w:tabs>
          <w:tab w:val="left" w:pos="2160"/>
        </w:tabs>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b w:val="0"/>
          <w:bCs w:val="0"/>
          <w:color w:val="auto"/>
          <w:kern w:val="0"/>
          <w:position w:val="0"/>
          <w:sz w:val="32"/>
          <w:szCs w:val="32"/>
          <w:highlight w:val="none"/>
          <w:lang w:val="en-US" w:eastAsia="zh-CN" w:bidi="ar-SA"/>
        </w:rPr>
      </w:pPr>
      <w:r>
        <w:rPr>
          <w:rFonts w:hint="eastAsia" w:ascii="仿宋_GB2312" w:hAnsi="仿宋_GB2312" w:eastAsia="仿宋_GB2312" w:cs="仿宋_GB2312"/>
          <w:b w:val="0"/>
          <w:bCs w:val="0"/>
          <w:color w:val="auto"/>
          <w:kern w:val="0"/>
          <w:position w:val="0"/>
          <w:sz w:val="32"/>
          <w:szCs w:val="32"/>
          <w:highlight w:val="none"/>
          <w:lang w:val="en-US" w:eastAsia="zh-CN" w:bidi="ar-SA"/>
        </w:rPr>
        <w:t>艾滋病人群扩大监测人次数≥17800人次(8分）。实际完成21264人次.</w:t>
      </w:r>
    </w:p>
    <w:p w14:paraId="433F53F3">
      <w:pPr>
        <w:pageBreakBefore w:val="0"/>
        <w:widowControl/>
        <w:tabs>
          <w:tab w:val="left" w:pos="2160"/>
        </w:tabs>
        <w:kinsoku/>
        <w:wordWrap/>
        <w:overflowPunct/>
        <w:topLinePunct w:val="0"/>
        <w:autoSpaceDE/>
        <w:autoSpaceDN/>
        <w:bidi w:val="0"/>
        <w:spacing w:line="560" w:lineRule="exact"/>
        <w:ind w:firstLine="640" w:firstLineChars="200"/>
        <w:jc w:val="left"/>
        <w:textAlignment w:val="auto"/>
        <w:rPr>
          <w:rFonts w:hint="default" w:ascii="仿宋_GB2312" w:hAnsi="仿宋_GB2312" w:eastAsia="仿宋_GB2312" w:cs="仿宋_GB2312"/>
          <w:b w:val="0"/>
          <w:bCs w:val="0"/>
          <w:color w:val="auto"/>
          <w:kern w:val="0"/>
          <w:position w:val="0"/>
          <w:sz w:val="32"/>
          <w:szCs w:val="32"/>
          <w:highlight w:val="none"/>
          <w:lang w:val="en-US" w:eastAsia="zh-CN" w:bidi="ar-SA"/>
        </w:rPr>
      </w:pPr>
      <w:r>
        <w:rPr>
          <w:rFonts w:hint="eastAsia" w:ascii="仿宋_GB2312" w:hAnsi="仿宋_GB2312" w:eastAsia="仿宋_GB2312" w:cs="仿宋_GB2312"/>
          <w:b w:val="0"/>
          <w:bCs w:val="0"/>
          <w:color w:val="auto"/>
          <w:kern w:val="0"/>
          <w:position w:val="0"/>
          <w:sz w:val="32"/>
          <w:szCs w:val="32"/>
          <w:highlight w:val="none"/>
          <w:lang w:val="en-US" w:eastAsia="zh-CN" w:bidi="ar-SA"/>
        </w:rPr>
        <w:t>全年完成枯水期、丰水期、季度水监测104个（8分）。实际完成104个。</w:t>
      </w:r>
    </w:p>
    <w:p w14:paraId="7F3CF35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outlineLvl w:val="9"/>
        <w:rPr>
          <w:rFonts w:hint="eastAsia" w:ascii="黑体" w:hAnsi="宋体" w:eastAsia="黑体" w:cs="Times New Roman"/>
          <w:color w:val="auto"/>
          <w:sz w:val="32"/>
          <w:szCs w:val="32"/>
          <w:highlight w:val="none"/>
          <w:u w:val="none"/>
        </w:rPr>
      </w:pPr>
      <w:r>
        <w:rPr>
          <w:rFonts w:hint="eastAsia" w:ascii="黑体" w:hAnsi="宋体" w:eastAsia="黑体" w:cs="Times New Roman"/>
          <w:color w:val="auto"/>
          <w:sz w:val="32"/>
          <w:szCs w:val="32"/>
          <w:highlight w:val="none"/>
          <w:u w:val="none"/>
          <w:lang w:eastAsia="zh-CN"/>
        </w:rPr>
        <w:t>四</w:t>
      </w:r>
      <w:r>
        <w:rPr>
          <w:rFonts w:hint="eastAsia" w:ascii="黑体" w:hAnsi="宋体" w:eastAsia="黑体" w:cs="Times New Roman"/>
          <w:color w:val="auto"/>
          <w:sz w:val="32"/>
          <w:szCs w:val="32"/>
          <w:highlight w:val="none"/>
          <w:u w:val="none"/>
        </w:rPr>
        <w:t>、评价结论</w:t>
      </w:r>
    </w:p>
    <w:p w14:paraId="26C2F5B8">
      <w:pPr>
        <w:pageBreakBefore w:val="0"/>
        <w:widowControl/>
        <w:numPr>
          <w:ilvl w:val="0"/>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default" w:ascii="黑体" w:hAnsi="黑体" w:eastAsia="黑体" w:cs="黑体"/>
          <w:b w:val="0"/>
          <w:bCs w:val="0"/>
          <w:color w:val="auto"/>
          <w:kern w:val="2"/>
          <w:position w:val="0"/>
          <w:sz w:val="32"/>
          <w:szCs w:val="32"/>
          <w:highlight w:val="none"/>
          <w:lang w:val="en-US" w:eastAsia="zh-CN" w:bidi="ar-SA"/>
        </w:rPr>
      </w:pPr>
      <w:r>
        <w:rPr>
          <w:rFonts w:hint="eastAsia" w:ascii="仿宋_GB2312" w:hAnsi="仿宋_GB2312" w:eastAsia="仿宋_GB2312" w:cs="仿宋_GB2312"/>
          <w:b w:val="0"/>
          <w:bCs w:val="0"/>
          <w:color w:val="auto"/>
          <w:kern w:val="0"/>
          <w:position w:val="0"/>
          <w:sz w:val="32"/>
          <w:szCs w:val="32"/>
          <w:highlight w:val="none"/>
          <w:lang w:val="en-US" w:eastAsia="zh-CN" w:bidi="ar-SA"/>
        </w:rPr>
        <w:t>该项专项预算项目绩效自评总体结论优异，自评得分85.82分，项目实施范围符合州级要求，并按时完成了项目资金拨付，截至2025年12月31日，资金使用率达63.39%。</w:t>
      </w:r>
    </w:p>
    <w:p w14:paraId="11C958D0">
      <w:pPr>
        <w:pageBreakBefore w:val="0"/>
        <w:widowControl/>
        <w:numPr>
          <w:ilvl w:val="0"/>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en-US" w:eastAsia="zh-CN" w:bidi="ar-SA"/>
        </w:rPr>
      </w:pPr>
      <w:r>
        <w:rPr>
          <w:rFonts w:hint="eastAsia" w:ascii="黑体" w:hAnsi="宋体" w:eastAsia="黑体" w:cs="Times New Roman"/>
          <w:color w:val="auto"/>
          <w:kern w:val="0"/>
          <w:position w:val="3"/>
          <w:sz w:val="32"/>
          <w:szCs w:val="32"/>
          <w:highlight w:val="none"/>
          <w:u w:val="none"/>
          <w:lang w:val="en-US" w:eastAsia="zh-CN" w:bidi="ar-SA"/>
        </w:rPr>
        <w:t>五、存在主要问题</w:t>
      </w:r>
    </w:p>
    <w:p w14:paraId="709A5C93">
      <w:pPr>
        <w:pageBreakBefore w:val="0"/>
        <w:numPr>
          <w:ilvl w:val="0"/>
          <w:numId w:val="0"/>
        </w:numPr>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项目资金下达标准与实际使用存在差异。项目资金明细表明确了项目资金使用标准及范围，中心相关工作人员已经按照项目目标开展工作，并完成了各项项目指标任务。但因开展项目工作的人员大部分均属于在职在编人员，无法将下达的项目资金用于发放工作人员补助。导致项目内容已实施完毕，仍有大部分项目资金净结余，资金执行率不高。</w:t>
      </w:r>
    </w:p>
    <w:p w14:paraId="23BAD67C">
      <w:pPr>
        <w:pageBreakBefore w:val="0"/>
        <w:widowControl/>
        <w:numPr>
          <w:ilvl w:val="0"/>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14:paraId="3A47CDA7">
      <w:pPr>
        <w:pageBreakBefore w:val="0"/>
        <w:tabs>
          <w:tab w:val="left" w:pos="1911"/>
        </w:tabs>
        <w:kinsoku/>
        <w:wordWrap/>
        <w:overflowPunct/>
        <w:topLinePunct w:val="0"/>
        <w:autoSpaceDE/>
        <w:autoSpaceDN/>
        <w:bidi w:val="0"/>
        <w:spacing w:line="560" w:lineRule="exact"/>
        <w:jc w:val="left"/>
        <w:textAlignment w:val="auto"/>
        <w:rPr>
          <w:rFonts w:hint="eastAsia" w:ascii="仿宋_GB2312" w:hAnsi="仿宋_GB2312" w:eastAsia="仿宋_GB2312" w:cs="仿宋_GB2312"/>
          <w:b w:val="0"/>
          <w:bCs w:val="0"/>
          <w:color w:val="auto"/>
          <w:kern w:val="0"/>
          <w:position w:val="0"/>
          <w:sz w:val="32"/>
          <w:szCs w:val="32"/>
          <w:highlight w:val="none"/>
          <w:lang w:val="en-US" w:eastAsia="zh-CN" w:bidi="ar-SA"/>
        </w:rPr>
      </w:pPr>
      <w:r>
        <w:rPr>
          <w:rFonts w:hint="eastAsia" w:ascii="仿宋_GB2312" w:hAnsi="仿宋_GB2312" w:eastAsia="仿宋_GB2312" w:cs="仿宋_GB2312"/>
          <w:b w:val="0"/>
          <w:bCs w:val="0"/>
          <w:color w:val="auto"/>
          <w:kern w:val="0"/>
          <w:position w:val="0"/>
          <w:sz w:val="32"/>
          <w:szCs w:val="32"/>
          <w:highlight w:val="none"/>
          <w:lang w:val="en-US" w:eastAsia="zh-CN" w:bidi="ar-SA"/>
        </w:rPr>
        <w:t xml:space="preserve">   下达项目资金时，应共同考量服务对象人数及开展工作量，并允许项目有小部分净结余资金。</w:t>
      </w:r>
    </w:p>
    <w:p w14:paraId="303A53AB">
      <w:pPr>
        <w:pageBreakBefore w:val="0"/>
        <w:kinsoku/>
        <w:wordWrap/>
        <w:overflowPunct/>
        <w:topLinePunct w:val="0"/>
        <w:autoSpaceDE/>
        <w:autoSpaceDN/>
        <w:bidi w:val="0"/>
        <w:spacing w:line="560" w:lineRule="exact"/>
        <w:textAlignment w:val="auto"/>
        <w:rPr>
          <w:rFonts w:hint="eastAsia"/>
          <w:lang w:val="zh-CN" w:eastAsia="zh-CN"/>
        </w:rPr>
      </w:pPr>
    </w:p>
    <w:p w14:paraId="6FE45783">
      <w:pPr>
        <w:keepNext w:val="0"/>
        <w:keepLines w:val="0"/>
        <w:pageBreakBefore w:val="0"/>
        <w:kinsoku/>
        <w:wordWrap/>
        <w:overflowPunct/>
        <w:topLinePunct w:val="0"/>
        <w:autoSpaceDE/>
        <w:autoSpaceDN/>
        <w:bidi w:val="0"/>
        <w:adjustRightInd/>
        <w:snapToGrid w:val="0"/>
        <w:spacing w:line="560" w:lineRule="exact"/>
        <w:textAlignment w:val="auto"/>
        <w:outlineLvl w:val="9"/>
        <w:rPr>
          <w:rFonts w:hint="eastAsia" w:ascii="方正仿宋_GB2312" w:hAnsi="方正仿宋_GB2312" w:eastAsia="方正仿宋_GB2312" w:cs="方正仿宋_GB2312"/>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 xml:space="preserve">                      </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 xml:space="preserve">  黑水县疾病预防控制中心</w:t>
      </w:r>
    </w:p>
    <w:p w14:paraId="3661C922">
      <w:pPr>
        <w:keepNext w:val="0"/>
        <w:keepLines w:val="0"/>
        <w:pageBreakBefore w:val="0"/>
        <w:kinsoku/>
        <w:wordWrap/>
        <w:overflowPunct/>
        <w:topLinePunct w:val="0"/>
        <w:autoSpaceDE/>
        <w:autoSpaceDN/>
        <w:bidi w:val="0"/>
        <w:adjustRightInd/>
        <w:snapToGrid w:val="0"/>
        <w:spacing w:line="560" w:lineRule="exact"/>
        <w:ind w:left="0" w:leftChars="0" w:firstLine="1600" w:firstLineChars="500"/>
        <w:textAlignment w:val="auto"/>
        <w:outlineLvl w:val="9"/>
        <w:rPr>
          <w:rFonts w:hint="eastAsia"/>
          <w:lang w:val="en-US" w:eastAsia="zh-CN"/>
        </w:rPr>
      </w:pP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 xml:space="preserve">                  2026年3月31日</w:t>
      </w:r>
      <w:r>
        <w:rPr>
          <w:rFonts w:hint="eastAsia"/>
          <w:lang w:val="en-US" w:eastAsia="zh-CN"/>
        </w:rPr>
        <w:t xml:space="preserve">    </w:t>
      </w:r>
    </w:p>
    <w:sectPr>
      <w:footerReference r:id="rId3" w:type="default"/>
      <w:pgSz w:w="11906" w:h="16838"/>
      <w:pgMar w:top="1587" w:right="2098" w:bottom="1474" w:left="1985"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
    <w:altName w:val="仿宋"/>
    <w:panose1 w:val="00000000000000000000"/>
    <w:charset w:val="00"/>
    <w:family w:val="roman"/>
    <w:pitch w:val="default"/>
    <w:sig w:usb0="00000000" w:usb1="00000000" w:usb2="00000000" w:usb3="00000000" w:csb0="00000000" w:csb1="00000000"/>
  </w:font>
  <w:font w:name="方正小标宋_GBK">
    <w:altName w:val="微软雅黑"/>
    <w:panose1 w:val="02000000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FF3A9">
    <w:pPr>
      <w:pStyle w:val="6"/>
      <w:jc w:val="right"/>
    </w:pPr>
    <w:r>
      <w:rPr>
        <w:rFonts w:hint="eastAsia" w:ascii="宋体" w:hAnsi="宋体"/>
        <w:sz w:val="30"/>
        <w:szCs w:val="30"/>
      </w:rPr>
      <w:t>―</w:t>
    </w:r>
    <w:r>
      <w:rPr>
        <w:rFonts w:hint="eastAsia" w:ascii="宋体" w:hAnsi="宋体"/>
        <w:kern w:val="0"/>
        <w:sz w:val="30"/>
        <w:szCs w:val="30"/>
      </w:rPr>
      <w:t xml:space="preserve"> </w:t>
    </w:r>
    <w:r>
      <w:rPr>
        <w:rFonts w:hint="eastAsia" w:ascii="宋体" w:hAnsi="宋体"/>
        <w:kern w:val="0"/>
        <w:sz w:val="30"/>
        <w:szCs w:val="30"/>
      </w:rPr>
      <w:fldChar w:fldCharType="begin"/>
    </w:r>
    <w:r>
      <w:rPr>
        <w:rFonts w:hint="eastAsia" w:ascii="宋体" w:hAnsi="宋体"/>
        <w:kern w:val="0"/>
        <w:sz w:val="30"/>
        <w:szCs w:val="30"/>
      </w:rPr>
      <w:instrText xml:space="preserve"> PAGE </w:instrText>
    </w:r>
    <w:r>
      <w:rPr>
        <w:rFonts w:hint="eastAsia" w:ascii="宋体" w:hAnsi="宋体"/>
        <w:kern w:val="0"/>
        <w:sz w:val="30"/>
        <w:szCs w:val="30"/>
      </w:rPr>
      <w:fldChar w:fldCharType="separate"/>
    </w:r>
    <w:r>
      <w:rPr>
        <w:rFonts w:ascii="宋体" w:hAnsi="宋体"/>
        <w:kern w:val="0"/>
        <w:sz w:val="30"/>
        <w:szCs w:val="30"/>
      </w:rPr>
      <w:t>1</w:t>
    </w:r>
    <w:r>
      <w:rPr>
        <w:rFonts w:hint="eastAsia" w:ascii="宋体" w:hAnsi="宋体"/>
        <w:kern w:val="0"/>
        <w:sz w:val="30"/>
        <w:szCs w:val="30"/>
      </w:rPr>
      <w:fldChar w:fldCharType="end"/>
    </w:r>
    <w:r>
      <w:rPr>
        <w:rFonts w:hint="eastAsia" w:ascii="宋体" w:hAnsi="宋体"/>
        <w:kern w:val="0"/>
        <w:sz w:val="30"/>
        <w:szCs w:val="30"/>
      </w:rPr>
      <w:t xml:space="preserve"> </w:t>
    </w:r>
    <w:r>
      <w:rPr>
        <w:rFonts w:hint="eastAsia" w:ascii="宋体" w:hAnsi="宋体"/>
        <w:sz w:val="30"/>
        <w:szCs w:val="30"/>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825FD0"/>
    <w:multiLevelType w:val="singleLevel"/>
    <w:tmpl w:val="A1825FD0"/>
    <w:lvl w:ilvl="0" w:tentative="0">
      <w:start w:val="2"/>
      <w:numFmt w:val="chineseCounting"/>
      <w:suff w:val="nothing"/>
      <w:lvlText w:val="（%1）"/>
      <w:lvlJc w:val="left"/>
      <w:rPr>
        <w:rFonts w:hint="eastAsia"/>
      </w:rPr>
    </w:lvl>
  </w:abstractNum>
  <w:abstractNum w:abstractNumId="1">
    <w:nsid w:val="E6857523"/>
    <w:multiLevelType w:val="singleLevel"/>
    <w:tmpl w:val="E6857523"/>
    <w:lvl w:ilvl="0" w:tentative="0">
      <w:start w:val="2"/>
      <w:numFmt w:val="chineseCounting"/>
      <w:suff w:val="nothing"/>
      <w:lvlText w:val="（%1）"/>
      <w:lvlJc w:val="left"/>
      <w:rPr>
        <w:rFonts w:hint="eastAsia"/>
      </w:rPr>
    </w:lvl>
  </w:abstractNum>
  <w:abstractNum w:abstractNumId="2">
    <w:nsid w:val="ECB34FCB"/>
    <w:multiLevelType w:val="singleLevel"/>
    <w:tmpl w:val="ECB34FCB"/>
    <w:lvl w:ilvl="0" w:tentative="0">
      <w:start w:val="3"/>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2NTI2NTM5NGRhNDBmNWI3M2JkNDkwZjA0NDYwNzAifQ=="/>
  </w:docVars>
  <w:rsids>
    <w:rsidRoot w:val="01FD00A0"/>
    <w:rsid w:val="01FD00A0"/>
    <w:rsid w:val="066D2FAB"/>
    <w:rsid w:val="095D50B9"/>
    <w:rsid w:val="0B934203"/>
    <w:rsid w:val="16DB16FF"/>
    <w:rsid w:val="1BE43BCD"/>
    <w:rsid w:val="1D885A81"/>
    <w:rsid w:val="1EFF1103"/>
    <w:rsid w:val="30C21963"/>
    <w:rsid w:val="31F1039B"/>
    <w:rsid w:val="3E9B5D5C"/>
    <w:rsid w:val="3FFF6F76"/>
    <w:rsid w:val="40360E64"/>
    <w:rsid w:val="424D0F6F"/>
    <w:rsid w:val="43A01E09"/>
    <w:rsid w:val="515B7CB7"/>
    <w:rsid w:val="56E93F09"/>
    <w:rsid w:val="57132F6C"/>
    <w:rsid w:val="6D772CF3"/>
    <w:rsid w:val="6EFBBBEC"/>
    <w:rsid w:val="71720CC5"/>
    <w:rsid w:val="731F6A02"/>
    <w:rsid w:val="771F27EA"/>
    <w:rsid w:val="7BEB3EB3"/>
    <w:rsid w:val="7C3B575E"/>
    <w:rsid w:val="7EB43D30"/>
    <w:rsid w:val="A73F5783"/>
    <w:rsid w:val="FFB57C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11">
    <w:name w:val="Default Paragraph Font"/>
    <w:semiHidden/>
    <w:qFormat/>
    <w:uiPriority w:val="0"/>
  </w:style>
  <w:style w:type="table" w:default="1" w:styleId="10">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4">
    <w:name w:val="Body Text"/>
    <w:basedOn w:val="1"/>
    <w:unhideWhenUsed/>
    <w:qFormat/>
    <w:uiPriority w:val="1"/>
    <w:pPr>
      <w:autoSpaceDE w:val="0"/>
      <w:autoSpaceDN w:val="0"/>
      <w:spacing w:line="480" w:lineRule="auto"/>
      <w:jc w:val="left"/>
    </w:pPr>
    <w:rPr>
      <w:rFonts w:ascii="仿宋" w:hAnsi="仿宋" w:eastAsia="仿宋" w:cs="仿宋"/>
      <w:kern w:val="0"/>
      <w:szCs w:val="32"/>
      <w:lang w:eastAsia="en-US"/>
    </w:rPr>
  </w:style>
  <w:style w:type="paragraph" w:styleId="5">
    <w:name w:val="Body Text Indent"/>
    <w:basedOn w:val="1"/>
    <w:qFormat/>
    <w:uiPriority w:val="0"/>
    <w:pPr>
      <w:spacing w:after="120"/>
      <w:ind w:leftChars="200"/>
    </w:pPr>
    <w:rPr>
      <w:rFonts w:ascii="仿宋_GB2312"/>
      <w:szCs w:val="32"/>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able of figures"/>
    <w:basedOn w:val="1"/>
    <w:next w:val="1"/>
    <w:unhideWhenUsed/>
    <w:qFormat/>
    <w:uiPriority w:val="99"/>
    <w:pPr>
      <w:ind w:left="200" w:leftChars="200" w:hanging="200" w:hangingChars="200"/>
    </w:pPr>
  </w:style>
  <w:style w:type="paragraph" w:styleId="9">
    <w:name w:val="Body Text First Indent 2"/>
    <w:basedOn w:val="5"/>
    <w:unhideWhenUsed/>
    <w:qFormat/>
    <w:uiPriority w:val="99"/>
    <w:pPr>
      <w:ind w:firstLine="420" w:firstLineChars="200"/>
    </w:pPr>
  </w:style>
  <w:style w:type="paragraph" w:customStyle="1" w:styleId="12">
    <w:name w:val="Table Text"/>
    <w:basedOn w:val="1"/>
    <w:semiHidden/>
    <w:qFormat/>
    <w:uiPriority w:val="0"/>
    <w:rPr>
      <w:rFonts w:ascii="仿宋" w:hAnsi="仿宋" w:eastAsia="仿宋" w:cs="仿宋"/>
      <w:sz w:val="24"/>
      <w:szCs w:val="24"/>
      <w:lang w:val="en-US" w:eastAsia="en-US" w:bidi="ar-SA"/>
    </w:r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3482</Words>
  <Characters>3894</Characters>
  <Lines>1</Lines>
  <Paragraphs>1</Paragraphs>
  <TotalTime>3</TotalTime>
  <ScaleCrop>false</ScaleCrop>
  <LinksUpToDate>false</LinksUpToDate>
  <CharactersWithSpaces>3985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2023-08-05T08:33:00Z</dcterms:created>
  <dc:creator>高能电脑打印</dc:creator>
  <cp:lastModifiedBy>WPS_1604458475</cp:lastModifiedBy>
  <cp:lastPrinted>2023-08-05T08:44:00Z</cp:lastPrinted>
  <dcterms:modified xsi:type="dcterms:W3CDTF">2026-08-26T07:39:15Z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2DBED57D7D834EB59199D1A5CE455B12_13</vt:lpwstr>
  </property>
  <property fmtid="{D5CDD505-2E9C-101B-9397-08002B2CF9AE}" pid="4" name="KSOTemplateDocerSaveRecord">
    <vt:lpwstr>eyJoZGlkIjoiYmMxZWViYzY2OTBkMWNmMDZlNjI2NmUwYzQyZTk2ZTMiLCJ1c2VySWQiOiIxMTM5OTQ5NTAyIn0=</vt:lpwstr>
  </property>
</Properties>
</file>